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7A5AE" w14:textId="1C1DDE2C" w:rsidR="00A97E45" w:rsidRPr="00937A49" w:rsidRDefault="00A97E45" w:rsidP="00943E78">
      <w:pPr>
        <w:autoSpaceDE w:val="0"/>
        <w:autoSpaceDN w:val="0"/>
        <w:adjustRightInd w:val="0"/>
        <w:spacing w:line="288" w:lineRule="auto"/>
        <w:jc w:val="both"/>
        <w:rPr>
          <w:rFonts w:asciiTheme="minorHAnsi" w:hAnsiTheme="minorHAnsi" w:cstheme="minorHAnsi"/>
          <w:sz w:val="22"/>
          <w:szCs w:val="22"/>
        </w:rPr>
      </w:pPr>
      <w:bookmarkStart w:id="0" w:name="_Hlk199341705"/>
      <w:r w:rsidRPr="00937A49">
        <w:rPr>
          <w:rFonts w:asciiTheme="minorHAnsi" w:hAnsiTheme="minorHAnsi" w:cstheme="minorHAnsi"/>
          <w:sz w:val="22"/>
          <w:szCs w:val="22"/>
        </w:rPr>
        <w:t>Komunikat prasowy ITS</w:t>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Pr="00937A49">
        <w:rPr>
          <w:rFonts w:asciiTheme="minorHAnsi" w:hAnsiTheme="minorHAnsi" w:cstheme="minorHAnsi"/>
          <w:sz w:val="22"/>
          <w:szCs w:val="22"/>
        </w:rPr>
        <w:tab/>
      </w:r>
      <w:r w:rsidR="005713AB" w:rsidRPr="00937A49">
        <w:rPr>
          <w:rFonts w:asciiTheme="minorHAnsi" w:hAnsiTheme="minorHAnsi" w:cstheme="minorHAnsi"/>
          <w:sz w:val="22"/>
          <w:szCs w:val="22"/>
        </w:rPr>
        <w:t>22</w:t>
      </w:r>
      <w:r w:rsidRPr="00937A49">
        <w:rPr>
          <w:rFonts w:asciiTheme="minorHAnsi" w:hAnsiTheme="minorHAnsi" w:cstheme="minorHAnsi"/>
          <w:sz w:val="22"/>
          <w:szCs w:val="22"/>
        </w:rPr>
        <w:t>.</w:t>
      </w:r>
      <w:r w:rsidR="00F021AE" w:rsidRPr="00937A49">
        <w:rPr>
          <w:rFonts w:asciiTheme="minorHAnsi" w:hAnsiTheme="minorHAnsi" w:cstheme="minorHAnsi"/>
          <w:sz w:val="22"/>
          <w:szCs w:val="22"/>
        </w:rPr>
        <w:t>08</w:t>
      </w:r>
      <w:r w:rsidRPr="00937A49">
        <w:rPr>
          <w:rFonts w:asciiTheme="minorHAnsi" w:hAnsiTheme="minorHAnsi" w:cstheme="minorHAnsi"/>
          <w:sz w:val="22"/>
          <w:szCs w:val="22"/>
        </w:rPr>
        <w:t>.2025 r.</w:t>
      </w:r>
    </w:p>
    <w:p w14:paraId="67FBC5B2" w14:textId="77777777" w:rsidR="00A97E45" w:rsidRPr="00937A49" w:rsidRDefault="00A97E45" w:rsidP="00943E78">
      <w:pPr>
        <w:autoSpaceDE w:val="0"/>
        <w:autoSpaceDN w:val="0"/>
        <w:adjustRightInd w:val="0"/>
        <w:spacing w:line="288" w:lineRule="auto"/>
        <w:jc w:val="both"/>
        <w:rPr>
          <w:rFonts w:asciiTheme="minorHAnsi" w:hAnsiTheme="minorHAnsi" w:cstheme="minorHAnsi"/>
          <w:sz w:val="22"/>
          <w:szCs w:val="22"/>
        </w:rPr>
      </w:pPr>
    </w:p>
    <w:p w14:paraId="40DC346D" w14:textId="59D6EE2B" w:rsidR="00A97E45" w:rsidRPr="00937A49" w:rsidRDefault="00F021AE" w:rsidP="00943E78">
      <w:pPr>
        <w:autoSpaceDE w:val="0"/>
        <w:autoSpaceDN w:val="0"/>
        <w:adjustRightInd w:val="0"/>
        <w:spacing w:line="288" w:lineRule="auto"/>
        <w:jc w:val="center"/>
        <w:rPr>
          <w:rFonts w:asciiTheme="minorHAnsi" w:eastAsia="Calibri" w:hAnsiTheme="minorHAnsi" w:cstheme="minorHAnsi"/>
          <w:b/>
          <w:bCs/>
          <w:iCs/>
          <w:color w:val="1F497D" w:themeColor="text2"/>
          <w:sz w:val="22"/>
          <w:szCs w:val="22"/>
        </w:rPr>
      </w:pPr>
      <w:r w:rsidRPr="00937A49">
        <w:rPr>
          <w:rFonts w:asciiTheme="minorHAnsi" w:hAnsiTheme="minorHAnsi" w:cstheme="minorHAnsi"/>
          <w:b/>
          <w:bCs/>
          <w:iCs/>
          <w:color w:val="1F497D" w:themeColor="text2"/>
          <w:sz w:val="22"/>
          <w:szCs w:val="22"/>
        </w:rPr>
        <w:t>Szacunkowa a</w:t>
      </w:r>
      <w:r w:rsidR="00A97E45" w:rsidRPr="00937A49">
        <w:rPr>
          <w:rFonts w:asciiTheme="minorHAnsi" w:hAnsiTheme="minorHAnsi" w:cstheme="minorHAnsi"/>
          <w:b/>
          <w:bCs/>
          <w:iCs/>
          <w:color w:val="1F497D" w:themeColor="text2"/>
          <w:sz w:val="22"/>
          <w:szCs w:val="22"/>
        </w:rPr>
        <w:t>naliza kosztów funkcjonowania Stacji Kontroli Pojazdów</w:t>
      </w:r>
    </w:p>
    <w:p w14:paraId="1467E7F5" w14:textId="77777777" w:rsidR="00A97E45" w:rsidRPr="00937A49" w:rsidRDefault="00A97E45" w:rsidP="00943E78">
      <w:pPr>
        <w:jc w:val="both"/>
        <w:rPr>
          <w:rFonts w:asciiTheme="minorHAnsi" w:eastAsia="Calibri" w:hAnsiTheme="minorHAnsi" w:cstheme="minorHAnsi"/>
          <w:sz w:val="22"/>
          <w:szCs w:val="22"/>
        </w:rPr>
      </w:pPr>
    </w:p>
    <w:p w14:paraId="713A6763" w14:textId="107A215A" w:rsidR="00A97E45" w:rsidRPr="00937A49" w:rsidRDefault="00A97E45" w:rsidP="00943E78">
      <w:pPr>
        <w:ind w:right="-1"/>
        <w:jc w:val="both"/>
        <w:rPr>
          <w:rFonts w:asciiTheme="minorHAnsi" w:eastAsia="Calibri" w:hAnsiTheme="minorHAnsi" w:cstheme="minorHAnsi"/>
          <w:color w:val="1F497D" w:themeColor="text2"/>
          <w:sz w:val="22"/>
          <w:szCs w:val="22"/>
        </w:rPr>
      </w:pPr>
      <w:r w:rsidRPr="00937A49">
        <w:rPr>
          <w:rFonts w:asciiTheme="minorHAnsi" w:eastAsia="Calibri" w:hAnsiTheme="minorHAnsi" w:cstheme="minorHAnsi"/>
          <w:color w:val="1F497D" w:themeColor="text2"/>
          <w:sz w:val="22"/>
          <w:szCs w:val="22"/>
        </w:rPr>
        <w:t>Instytut Transportu Samochodowego, na zlecenie Ministerstwa Infrastruktury, przygotował analizę kosztów funkcjonowania stacji kontroli pojazdów (SKP) w Polsce w 2024 roku, uwzględniając zmieniające się okoliczności rynkowe oraz potrzeby techniczne i finansowe sektora badań technicznych pojazdów. Analiza zawiera strukturę wydatków SKP oraz dynamikę ich zmian, w szczególności kosztów: wynagrodzenia diagnostów, administrowania, nieruchomości, mediów i bieżącej eksploatacji urządzeń wraz z</w:t>
      </w:r>
      <w:r w:rsidR="00137E75" w:rsidRPr="00937A49">
        <w:rPr>
          <w:rFonts w:asciiTheme="minorHAnsi" w:eastAsia="Calibri" w:hAnsiTheme="minorHAnsi" w:cstheme="minorHAnsi"/>
          <w:color w:val="1F497D" w:themeColor="text2"/>
          <w:sz w:val="22"/>
          <w:szCs w:val="22"/>
        </w:rPr>
        <w:t> </w:t>
      </w:r>
      <w:r w:rsidRPr="00937A49">
        <w:rPr>
          <w:rFonts w:asciiTheme="minorHAnsi" w:eastAsia="Calibri" w:hAnsiTheme="minorHAnsi" w:cstheme="minorHAnsi"/>
          <w:color w:val="1F497D" w:themeColor="text2"/>
          <w:sz w:val="22"/>
          <w:szCs w:val="22"/>
        </w:rPr>
        <w:t>ich</w:t>
      </w:r>
      <w:r w:rsidR="00137E75" w:rsidRPr="00937A49">
        <w:rPr>
          <w:rFonts w:asciiTheme="minorHAnsi" w:eastAsia="Calibri" w:hAnsiTheme="minorHAnsi" w:cstheme="minorHAnsi"/>
          <w:color w:val="1F497D" w:themeColor="text2"/>
          <w:sz w:val="22"/>
          <w:szCs w:val="22"/>
        </w:rPr>
        <w:t> </w:t>
      </w:r>
      <w:r w:rsidRPr="00937A49">
        <w:rPr>
          <w:rFonts w:asciiTheme="minorHAnsi" w:eastAsia="Calibri" w:hAnsiTheme="minorHAnsi" w:cstheme="minorHAnsi"/>
          <w:color w:val="1F497D" w:themeColor="text2"/>
          <w:sz w:val="22"/>
          <w:szCs w:val="22"/>
        </w:rPr>
        <w:t xml:space="preserve">legalizacją, przeglądami i naprawami. </w:t>
      </w:r>
    </w:p>
    <w:p w14:paraId="721BC26C" w14:textId="77777777" w:rsidR="005713AB" w:rsidRPr="00937A49" w:rsidRDefault="005713AB" w:rsidP="00943E78">
      <w:pPr>
        <w:ind w:right="424"/>
        <w:jc w:val="both"/>
        <w:rPr>
          <w:rFonts w:asciiTheme="minorHAnsi" w:eastAsia="Calibri" w:hAnsiTheme="minorHAnsi" w:cstheme="minorHAnsi"/>
          <w:sz w:val="22"/>
          <w:szCs w:val="22"/>
        </w:rPr>
      </w:pPr>
    </w:p>
    <w:p w14:paraId="4E983855" w14:textId="23398E7B" w:rsidR="0074187C" w:rsidRPr="00937A49" w:rsidRDefault="0074187C" w:rsidP="00943E78">
      <w:pPr>
        <w:ind w:right="424"/>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Spis treści:</w:t>
      </w:r>
    </w:p>
    <w:p w14:paraId="1A45ADE5" w14:textId="77777777" w:rsidR="0074187C" w:rsidRPr="00937A49" w:rsidRDefault="0074187C" w:rsidP="00943E78">
      <w:pPr>
        <w:ind w:right="424"/>
        <w:jc w:val="both"/>
        <w:rPr>
          <w:rFonts w:asciiTheme="minorHAnsi" w:eastAsia="Calibri" w:hAnsiTheme="minorHAnsi" w:cstheme="minorHAnsi"/>
          <w:sz w:val="22"/>
          <w:szCs w:val="22"/>
        </w:rPr>
      </w:pPr>
    </w:p>
    <w:p w14:paraId="5295B274" w14:textId="77777777" w:rsidR="0074187C" w:rsidRPr="00937A49" w:rsidRDefault="0074187C" w:rsidP="00943E78">
      <w:pPr>
        <w:pStyle w:val="Akapitzlist"/>
        <w:numPr>
          <w:ilvl w:val="0"/>
          <w:numId w:val="41"/>
        </w:num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Wariant I. Struktura kosztów SKP w Polsce </w:t>
      </w:r>
    </w:p>
    <w:p w14:paraId="53EBF51D" w14:textId="77777777" w:rsidR="0074187C" w:rsidRPr="00937A49" w:rsidRDefault="0074187C" w:rsidP="00943E78">
      <w:pPr>
        <w:pStyle w:val="NormalnyWeb"/>
        <w:numPr>
          <w:ilvl w:val="0"/>
          <w:numId w:val="41"/>
        </w:numPr>
        <w:spacing w:before="0" w:beforeAutospacing="0" w:after="0" w:afterAutospacing="0"/>
        <w:jc w:val="both"/>
        <w:rPr>
          <w:rFonts w:asciiTheme="minorHAnsi" w:hAnsiTheme="minorHAnsi" w:cstheme="minorHAnsi"/>
          <w:sz w:val="22"/>
          <w:szCs w:val="22"/>
          <w:lang w:eastAsia="en-US"/>
        </w:rPr>
      </w:pPr>
      <w:r w:rsidRPr="00937A49">
        <w:rPr>
          <w:rFonts w:asciiTheme="minorHAnsi" w:hAnsiTheme="minorHAnsi" w:cstheme="minorHAnsi"/>
          <w:sz w:val="22"/>
          <w:szCs w:val="22"/>
          <w:lang w:eastAsia="en-US"/>
        </w:rPr>
        <w:t>Wariant II. Analiza kosztów na podstawie próby 10 SKP</w:t>
      </w:r>
    </w:p>
    <w:p w14:paraId="1E2745BC" w14:textId="77777777" w:rsidR="0074187C" w:rsidRPr="00937A49" w:rsidRDefault="0074187C" w:rsidP="00943E78">
      <w:pPr>
        <w:pStyle w:val="Akapitzlist"/>
        <w:numPr>
          <w:ilvl w:val="0"/>
          <w:numId w:val="41"/>
        </w:num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Ceny przeglądów w wybranych krajach UE</w:t>
      </w:r>
    </w:p>
    <w:p w14:paraId="158DF68F" w14:textId="7E2CF69D" w:rsidR="0074187C" w:rsidRPr="00937A49" w:rsidRDefault="0074187C" w:rsidP="00943E78">
      <w:pPr>
        <w:pStyle w:val="Akapitzlist"/>
        <w:numPr>
          <w:ilvl w:val="0"/>
          <w:numId w:val="41"/>
        </w:num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Wnioski</w:t>
      </w:r>
    </w:p>
    <w:p w14:paraId="1DFDEFBB" w14:textId="77777777" w:rsidR="0074187C" w:rsidRPr="00937A49" w:rsidRDefault="0074187C" w:rsidP="00943E78">
      <w:pPr>
        <w:jc w:val="both"/>
        <w:rPr>
          <w:rFonts w:asciiTheme="minorHAnsi" w:eastAsia="Calibri" w:hAnsiTheme="minorHAnsi" w:cstheme="minorHAnsi"/>
          <w:sz w:val="22"/>
          <w:szCs w:val="22"/>
        </w:rPr>
      </w:pPr>
    </w:p>
    <w:p w14:paraId="1F57DB3A" w14:textId="06BDFE0B" w:rsidR="005713AB" w:rsidRPr="00937A49" w:rsidRDefault="005713AB" w:rsidP="00943E78">
      <w:pPr>
        <w:jc w:val="both"/>
        <w:rPr>
          <w:rFonts w:asciiTheme="minorHAnsi" w:eastAsia="Calibri" w:hAnsiTheme="minorHAnsi" w:cstheme="minorHAnsi"/>
          <w:sz w:val="22"/>
          <w:szCs w:val="22"/>
        </w:rPr>
      </w:pPr>
      <w:bookmarkStart w:id="1" w:name="_Hlk206760577"/>
      <w:r w:rsidRPr="00937A49">
        <w:rPr>
          <w:rFonts w:asciiTheme="minorHAnsi" w:eastAsia="Calibri" w:hAnsiTheme="minorHAnsi" w:cstheme="minorHAnsi"/>
          <w:sz w:val="22"/>
          <w:szCs w:val="22"/>
        </w:rPr>
        <w:t>W opracowaniu przygotowano zarówno estymację pełnych kosztów dla wszystkich stacji kontroli pojazdów (wariant I), jak i szczegółowe wyliczenia na podstawie wybranych podmiotów (wariant II). Przeprowadzono również analizę danych historycznych, wskazując w jaki sposób koszty badań technicznych wpływały na działalność SKP i liczbę firm z tego obszaru. Wskazano w niej dynamikę zmian poszczególnych kategorii obciążeń i przedstawiono ich prognozę na najbliższe 5 lat.</w:t>
      </w:r>
    </w:p>
    <w:bookmarkEnd w:id="1"/>
    <w:p w14:paraId="1CE364F1" w14:textId="77777777" w:rsidR="00943E78" w:rsidRPr="00937A49" w:rsidRDefault="00943E78" w:rsidP="00943E78">
      <w:pPr>
        <w:jc w:val="both"/>
        <w:rPr>
          <w:rFonts w:asciiTheme="minorHAnsi" w:eastAsia="Calibri" w:hAnsiTheme="minorHAnsi" w:cstheme="minorHAnsi"/>
          <w:color w:val="1F497D" w:themeColor="text2"/>
          <w:sz w:val="22"/>
          <w:szCs w:val="22"/>
        </w:rPr>
      </w:pPr>
    </w:p>
    <w:p w14:paraId="6F3F5564" w14:textId="582BA19A" w:rsidR="00A97E45" w:rsidRPr="00937A49" w:rsidRDefault="00A97E45" w:rsidP="00943E78">
      <w:pPr>
        <w:jc w:val="both"/>
        <w:rPr>
          <w:rFonts w:asciiTheme="minorHAnsi" w:eastAsia="Calibri" w:hAnsiTheme="minorHAnsi" w:cstheme="minorHAnsi"/>
          <w:color w:val="1F497D" w:themeColor="text2"/>
          <w:sz w:val="22"/>
          <w:szCs w:val="22"/>
        </w:rPr>
      </w:pPr>
      <w:r w:rsidRPr="00937A49">
        <w:rPr>
          <w:rFonts w:asciiTheme="minorHAnsi" w:eastAsia="Calibri" w:hAnsiTheme="minorHAnsi" w:cstheme="minorHAnsi"/>
          <w:color w:val="1F497D" w:themeColor="text2"/>
          <w:sz w:val="22"/>
          <w:szCs w:val="22"/>
        </w:rPr>
        <w:t xml:space="preserve">Wariant I. Struktura kosztów SKP w Polsce </w:t>
      </w:r>
    </w:p>
    <w:p w14:paraId="69BC8637" w14:textId="77777777" w:rsidR="00943E78" w:rsidRPr="00937A49" w:rsidRDefault="00943E78" w:rsidP="00943E78">
      <w:pPr>
        <w:jc w:val="both"/>
        <w:rPr>
          <w:rFonts w:asciiTheme="minorHAnsi" w:eastAsia="Calibri" w:hAnsiTheme="minorHAnsi" w:cstheme="minorHAnsi"/>
          <w:sz w:val="22"/>
          <w:szCs w:val="22"/>
        </w:rPr>
      </w:pPr>
    </w:p>
    <w:p w14:paraId="6BBBBF55" w14:textId="40E111D4"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Wariant </w:t>
      </w:r>
      <w:r w:rsidR="005713AB" w:rsidRPr="00937A49">
        <w:rPr>
          <w:rFonts w:asciiTheme="minorHAnsi" w:eastAsia="Calibri" w:hAnsiTheme="minorHAnsi" w:cstheme="minorHAnsi"/>
          <w:sz w:val="22"/>
          <w:szCs w:val="22"/>
        </w:rPr>
        <w:t xml:space="preserve">szacunkowy </w:t>
      </w:r>
      <w:r w:rsidRPr="00937A49">
        <w:rPr>
          <w:rFonts w:asciiTheme="minorHAnsi" w:eastAsia="Calibri" w:hAnsiTheme="minorHAnsi" w:cstheme="minorHAnsi"/>
          <w:sz w:val="22"/>
          <w:szCs w:val="22"/>
        </w:rPr>
        <w:t xml:space="preserve">dla 5 429 SKP, z czego 45 proc. stanowią stacje okręgowe, a 55 proc. stacje podstawowe (stan na 31.12.2024 r.). W tym </w:t>
      </w:r>
      <w:r w:rsidR="00F335C8" w:rsidRPr="00937A49">
        <w:rPr>
          <w:rFonts w:asciiTheme="minorHAnsi" w:eastAsia="Calibri" w:hAnsiTheme="minorHAnsi" w:cstheme="minorHAnsi"/>
          <w:sz w:val="22"/>
          <w:szCs w:val="22"/>
        </w:rPr>
        <w:t>scenariuszu</w:t>
      </w:r>
      <w:r w:rsidRPr="00937A49">
        <w:rPr>
          <w:rFonts w:asciiTheme="minorHAnsi" w:eastAsia="Calibri" w:hAnsiTheme="minorHAnsi" w:cstheme="minorHAnsi"/>
          <w:sz w:val="22"/>
          <w:szCs w:val="22"/>
        </w:rPr>
        <w:t xml:space="preserve"> uwzględniono koszty wynagrodzenia diagnostów, administrowania, nieruchomości, mediów i bieżącej eksploatacji urządzeń wraz z ich legalizacją, przeglądami i naprawami. W latach 2004-2024 największą dynamikę tego wzrostu miały koszty </w:t>
      </w:r>
      <w:r w:rsidR="00137E75" w:rsidRPr="00937A49">
        <w:rPr>
          <w:rFonts w:asciiTheme="minorHAnsi" w:eastAsia="Calibri" w:hAnsiTheme="minorHAnsi" w:cstheme="minorHAnsi"/>
          <w:sz w:val="22"/>
          <w:szCs w:val="22"/>
        </w:rPr>
        <w:t xml:space="preserve">utrzymania </w:t>
      </w:r>
      <w:r w:rsidRPr="00937A49">
        <w:rPr>
          <w:rFonts w:asciiTheme="minorHAnsi" w:eastAsia="Calibri" w:hAnsiTheme="minorHAnsi" w:cstheme="minorHAnsi"/>
          <w:sz w:val="22"/>
          <w:szCs w:val="22"/>
        </w:rPr>
        <w:t>zatrudnienia diagnostów (517 proc.) – obejmujące wynagrodzenia, składki ZUS oraz dodatkowe benefity dla pracowników. Wzrost płacy minimalnej (o 3 476 zł) w tym okresie oraz konieczność podnoszenia kwalifikacji zawodowych zwiększyły nakłady na zatrudnienie. Kolejną pozycją o najwyższej dynamice wzrostu (339 proc.) były opłaty za media i związane z bieżącą eksploatacją. Kolejnym</w:t>
      </w:r>
      <w:r w:rsidR="00935465" w:rsidRPr="00937A49">
        <w:rPr>
          <w:rFonts w:asciiTheme="minorHAnsi" w:eastAsia="Calibri" w:hAnsiTheme="minorHAnsi" w:cstheme="minorHAnsi"/>
          <w:sz w:val="22"/>
          <w:szCs w:val="22"/>
        </w:rPr>
        <w:t xml:space="preserve"> obciążeniem</w:t>
      </w:r>
      <w:r w:rsidRPr="00937A49">
        <w:rPr>
          <w:rFonts w:asciiTheme="minorHAnsi" w:eastAsia="Calibri" w:hAnsiTheme="minorHAnsi" w:cstheme="minorHAnsi"/>
          <w:sz w:val="22"/>
          <w:szCs w:val="22"/>
        </w:rPr>
        <w:t xml:space="preserve"> o</w:t>
      </w:r>
      <w:r w:rsidR="0074187C"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 xml:space="preserve">wysokiej dynamice (198 proc.) były opłaty legalizacyjne, nakłady na konserwację i modernizację obiektów i urządzeń. </w:t>
      </w:r>
    </w:p>
    <w:p w14:paraId="4693BD04" w14:textId="77777777" w:rsidR="00943E78" w:rsidRPr="00937A49" w:rsidRDefault="00943E78" w:rsidP="00943E78">
      <w:pPr>
        <w:jc w:val="both"/>
        <w:rPr>
          <w:rFonts w:asciiTheme="minorHAnsi" w:eastAsia="Calibri" w:hAnsiTheme="minorHAnsi" w:cstheme="minorHAnsi"/>
          <w:sz w:val="22"/>
          <w:szCs w:val="22"/>
        </w:rPr>
      </w:pPr>
    </w:p>
    <w:p w14:paraId="1CA81033" w14:textId="0075E9B7"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W latach 2004 – 2024 koszty utrzymania infrastruktury, w tym wynajmu i czynszu wzrosły o 205 proc. Tu</w:t>
      </w:r>
      <w:r w:rsidR="0074187C"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 xml:space="preserve">należy zauważyć, że średni miesięczny koszt wynajmu lokalu dla SKP w dużych miastach wynosi obecnie około 8–12 tys. zł, a </w:t>
      </w:r>
      <w:r w:rsidR="007706EB" w:rsidRPr="00937A49">
        <w:rPr>
          <w:rFonts w:asciiTheme="minorHAnsi" w:eastAsia="Calibri" w:hAnsiTheme="minorHAnsi" w:cstheme="minorHAnsi"/>
          <w:sz w:val="22"/>
          <w:szCs w:val="22"/>
        </w:rPr>
        <w:t xml:space="preserve">w </w:t>
      </w:r>
      <w:r w:rsidRPr="00937A49">
        <w:rPr>
          <w:rFonts w:asciiTheme="minorHAnsi" w:eastAsia="Calibri" w:hAnsiTheme="minorHAnsi" w:cstheme="minorHAnsi"/>
          <w:sz w:val="22"/>
          <w:szCs w:val="22"/>
        </w:rPr>
        <w:t xml:space="preserve">mniejszych miastach i miejscowościach </w:t>
      </w:r>
      <w:r w:rsidR="00F335C8"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 xml:space="preserve">4-7,7 tys. zł. </w:t>
      </w:r>
    </w:p>
    <w:p w14:paraId="6AE6454A" w14:textId="77777777" w:rsidR="00943E78" w:rsidRPr="00937A49" w:rsidRDefault="00943E78" w:rsidP="00943E78">
      <w:pPr>
        <w:jc w:val="both"/>
        <w:rPr>
          <w:rFonts w:asciiTheme="minorHAnsi" w:eastAsia="Calibri" w:hAnsiTheme="minorHAnsi" w:cstheme="minorHAnsi"/>
          <w:sz w:val="22"/>
          <w:szCs w:val="22"/>
        </w:rPr>
      </w:pPr>
    </w:p>
    <w:p w14:paraId="768232CA" w14:textId="143200C8"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Zakup i </w:t>
      </w:r>
      <w:r w:rsidRPr="00937A49">
        <w:rPr>
          <w:rFonts w:asciiTheme="minorHAnsi" w:eastAsia="Calibri" w:hAnsiTheme="minorHAnsi" w:cstheme="minorHAnsi"/>
          <w:bCs/>
          <w:sz w:val="22"/>
          <w:szCs w:val="22"/>
        </w:rPr>
        <w:t>utrzymanie</w:t>
      </w:r>
      <w:r w:rsidRPr="00937A49">
        <w:rPr>
          <w:rFonts w:asciiTheme="minorHAnsi" w:eastAsia="Calibri" w:hAnsiTheme="minorHAnsi" w:cstheme="minorHAnsi"/>
          <w:sz w:val="22"/>
          <w:szCs w:val="22"/>
        </w:rPr>
        <w:t xml:space="preserve"> urządzeń będących wyposażeniem stacji kontroli pojazdów – nowe wymogi techniczne, przyszłe inwestycje</w:t>
      </w:r>
      <w:r w:rsidR="00BC7008" w:rsidRPr="00937A49">
        <w:rPr>
          <w:rFonts w:asciiTheme="minorHAnsi" w:eastAsia="Calibri" w:hAnsiTheme="minorHAnsi" w:cstheme="minorHAnsi"/>
          <w:sz w:val="22"/>
          <w:szCs w:val="22"/>
        </w:rPr>
        <w:t>,</w:t>
      </w:r>
      <w:r w:rsidRPr="00937A49">
        <w:rPr>
          <w:rFonts w:asciiTheme="minorHAnsi" w:eastAsia="Calibri" w:hAnsiTheme="minorHAnsi" w:cstheme="minorHAnsi"/>
          <w:sz w:val="22"/>
          <w:szCs w:val="22"/>
        </w:rPr>
        <w:t xml:space="preserve"> jak np. </w:t>
      </w:r>
      <w:r w:rsidR="002C61B0" w:rsidRPr="00937A49">
        <w:rPr>
          <w:rFonts w:asciiTheme="minorHAnsi" w:eastAsia="Calibri" w:hAnsiTheme="minorHAnsi" w:cstheme="minorHAnsi"/>
          <w:sz w:val="22"/>
          <w:szCs w:val="22"/>
        </w:rPr>
        <w:t xml:space="preserve">spodziewana konieczność doposażenia </w:t>
      </w:r>
      <w:r w:rsidRPr="00937A49">
        <w:rPr>
          <w:rFonts w:asciiTheme="minorHAnsi" w:eastAsia="Calibri" w:hAnsiTheme="minorHAnsi" w:cstheme="minorHAnsi"/>
          <w:sz w:val="22"/>
          <w:szCs w:val="22"/>
        </w:rPr>
        <w:t>w analizatory cząstek stałych do weryfikacji filtrów cząstek stałych, generują dodatkowe wydatki na poziomie ok. 50 tys. zł rocznie. Koszty administracyjne i regulacyjne są na poziomie 39 tys. – 57 tys. zł, a opłaty związane z licencjami, certyfikacjami, szkoleniami, aktualizacją oprogramowania, w tym do rejestracji OBT (obowiązkowych badań technicznych) to 22-32 tys. zł rocznie. Opłaty podatkowe i ubezpieczenia oraz ubezpieczenie majątkowe i</w:t>
      </w:r>
      <w:r w:rsidR="005713AB"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 xml:space="preserve">odpowiedzialności zawodowej to 25-33 tys. zł. Obliczenie średniego kosztu utrzymania SKP w Polsce </w:t>
      </w:r>
      <w:r w:rsidRPr="00937A49">
        <w:rPr>
          <w:rFonts w:asciiTheme="minorHAnsi" w:eastAsia="Calibri" w:hAnsiTheme="minorHAnsi" w:cstheme="minorHAnsi"/>
          <w:sz w:val="22"/>
          <w:szCs w:val="22"/>
        </w:rPr>
        <w:lastRenderedPageBreak/>
        <w:t>w</w:t>
      </w:r>
      <w:r w:rsidR="005713AB"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2024 r. wymagało zatem estymacji średnich rocznych przychodów i kosztów prowadzenia badań technicznych pojazdów przez SKP.</w:t>
      </w:r>
    </w:p>
    <w:p w14:paraId="7BE36D69" w14:textId="77777777"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W sumie, łączny przychód sektora usług badań technicznych pojazdów w Polsce to 2,506 mld zł rocznie dla 5 429 aktywnych stacji w Polsce. </w:t>
      </w:r>
    </w:p>
    <w:p w14:paraId="6DD2C9F3" w14:textId="77777777" w:rsidR="00943E78" w:rsidRPr="00937A49" w:rsidRDefault="00943E78" w:rsidP="00943E78">
      <w:pPr>
        <w:jc w:val="both"/>
        <w:rPr>
          <w:rFonts w:asciiTheme="minorHAnsi" w:eastAsia="Calibri" w:hAnsiTheme="minorHAnsi" w:cstheme="minorHAnsi"/>
          <w:sz w:val="22"/>
          <w:szCs w:val="22"/>
        </w:rPr>
      </w:pPr>
    </w:p>
    <w:p w14:paraId="5EE94310" w14:textId="257BCC1A" w:rsidR="00A97E45" w:rsidRPr="00937A49" w:rsidRDefault="00A97E45" w:rsidP="00943E78">
      <w:pPr>
        <w:jc w:val="both"/>
        <w:rPr>
          <w:rFonts w:asciiTheme="minorHAnsi" w:eastAsia="Calibri" w:hAnsiTheme="minorHAnsi" w:cstheme="minorHAnsi"/>
          <w:b/>
          <w:bCs/>
          <w:sz w:val="22"/>
          <w:szCs w:val="22"/>
        </w:rPr>
      </w:pPr>
      <w:r w:rsidRPr="00937A49">
        <w:rPr>
          <w:rFonts w:asciiTheme="minorHAnsi" w:eastAsia="Calibri" w:hAnsiTheme="minorHAnsi" w:cstheme="minorHAnsi"/>
          <w:sz w:val="22"/>
          <w:szCs w:val="22"/>
        </w:rPr>
        <w:t>Zakładając równomierny podział przychodów</w:t>
      </w:r>
      <w:r w:rsidR="007706EB" w:rsidRPr="00937A49">
        <w:rPr>
          <w:rFonts w:asciiTheme="minorHAnsi" w:eastAsia="Calibri" w:hAnsiTheme="minorHAnsi" w:cstheme="minorHAnsi"/>
          <w:sz w:val="22"/>
          <w:szCs w:val="22"/>
        </w:rPr>
        <w:t>, tj.</w:t>
      </w:r>
      <w:r w:rsidRPr="00937A49">
        <w:rPr>
          <w:rFonts w:asciiTheme="minorHAnsi" w:eastAsia="Calibri" w:hAnsiTheme="minorHAnsi" w:cstheme="minorHAnsi"/>
          <w:sz w:val="22"/>
          <w:szCs w:val="22"/>
        </w:rPr>
        <w:t xml:space="preserve"> 2,506 mld zł ÷ 5 429 stacji = 461 595 zł. – </w:t>
      </w:r>
      <w:r w:rsidR="007706EB" w:rsidRPr="00937A49">
        <w:rPr>
          <w:rFonts w:asciiTheme="minorHAnsi" w:eastAsia="Calibri" w:hAnsiTheme="minorHAnsi" w:cstheme="minorHAnsi"/>
          <w:b/>
          <w:bCs/>
          <w:sz w:val="22"/>
          <w:szCs w:val="22"/>
        </w:rPr>
        <w:t>Ś</w:t>
      </w:r>
      <w:r w:rsidRPr="00937A49">
        <w:rPr>
          <w:rFonts w:asciiTheme="minorHAnsi" w:eastAsia="Calibri" w:hAnsiTheme="minorHAnsi" w:cstheme="minorHAnsi"/>
          <w:b/>
          <w:bCs/>
          <w:sz w:val="22"/>
          <w:szCs w:val="22"/>
        </w:rPr>
        <w:t xml:space="preserve">redni roczny przychód pojedynczej SKP w 2024 r. z tytułu prowadzenia badań technicznych oszacowano na poziomie 461 595 zł. </w:t>
      </w:r>
    </w:p>
    <w:p w14:paraId="1D60E54C" w14:textId="77777777" w:rsidR="00943E78" w:rsidRPr="00937A49" w:rsidRDefault="00943E78" w:rsidP="00943E78">
      <w:pPr>
        <w:jc w:val="both"/>
        <w:rPr>
          <w:rFonts w:asciiTheme="minorHAnsi" w:eastAsia="Calibri" w:hAnsiTheme="minorHAnsi" w:cstheme="minorHAnsi"/>
          <w:sz w:val="22"/>
          <w:szCs w:val="22"/>
        </w:rPr>
      </w:pPr>
    </w:p>
    <w:p w14:paraId="35BEA8A3" w14:textId="4A9A52A2"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Należy jednak zaznaczyć, że wpływ na przychody w każdej SKP w warunkach rzeczywistych ma co najmniej kilka czynników, takich jak np.: gęstość zaludnienia (SKP dużych miastach cechuje większy ruch klientów); natężenie ruchu drogowego (SKP położone przy głównych trasach, autostradach lub w pobliżu dużych osiedli mieszkalnych obsługują więcej klientów); konkurencja w okolicy</w:t>
      </w:r>
      <w:r w:rsidR="007706EB"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 xml:space="preserve">lub zamożność mieszkańców (determinująca skłonność do regularnych przeglądów i dodatkowych usług). Dla potrzeb estymacyjnych niniejszego opracowania przyjęto </w:t>
      </w:r>
      <w:r w:rsidR="007706EB" w:rsidRPr="00937A49">
        <w:rPr>
          <w:rFonts w:asciiTheme="minorHAnsi" w:eastAsia="Calibri" w:hAnsiTheme="minorHAnsi" w:cstheme="minorHAnsi"/>
          <w:sz w:val="22"/>
          <w:szCs w:val="22"/>
        </w:rPr>
        <w:t xml:space="preserve">zatem </w:t>
      </w:r>
      <w:r w:rsidRPr="00937A49">
        <w:rPr>
          <w:rFonts w:asciiTheme="minorHAnsi" w:eastAsia="Calibri" w:hAnsiTheme="minorHAnsi" w:cstheme="minorHAnsi"/>
          <w:sz w:val="22"/>
          <w:szCs w:val="22"/>
        </w:rPr>
        <w:t xml:space="preserve">uproszczenie o równomiernym rozkładzie wykonywania badań. </w:t>
      </w:r>
    </w:p>
    <w:p w14:paraId="16E8E8AB" w14:textId="77777777" w:rsidR="005713AB" w:rsidRPr="00937A49" w:rsidRDefault="005713AB" w:rsidP="00943E78">
      <w:pPr>
        <w:jc w:val="both"/>
        <w:rPr>
          <w:rFonts w:asciiTheme="minorHAnsi" w:eastAsia="Calibri" w:hAnsiTheme="minorHAnsi" w:cstheme="minorHAnsi"/>
          <w:b/>
          <w:bCs/>
          <w:sz w:val="22"/>
          <w:szCs w:val="22"/>
        </w:rPr>
      </w:pPr>
    </w:p>
    <w:p w14:paraId="6E58374D" w14:textId="5D54BD24"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b/>
          <w:bCs/>
          <w:sz w:val="22"/>
          <w:szCs w:val="22"/>
        </w:rPr>
        <w:t>Toteż</w:t>
      </w:r>
      <w:r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b/>
          <w:bCs/>
          <w:sz w:val="22"/>
          <w:szCs w:val="22"/>
        </w:rPr>
        <w:t>łączny średni koszt działalności pojedynczej SKP w 2024</w:t>
      </w:r>
      <w:r w:rsidR="007706EB" w:rsidRPr="00937A49">
        <w:rPr>
          <w:rFonts w:asciiTheme="minorHAnsi" w:eastAsia="Calibri" w:hAnsiTheme="minorHAnsi" w:cstheme="minorHAnsi"/>
          <w:b/>
          <w:bCs/>
          <w:sz w:val="22"/>
          <w:szCs w:val="22"/>
        </w:rPr>
        <w:t xml:space="preserve"> </w:t>
      </w:r>
      <w:r w:rsidRPr="00937A49">
        <w:rPr>
          <w:rFonts w:asciiTheme="minorHAnsi" w:eastAsia="Calibri" w:hAnsiTheme="minorHAnsi" w:cstheme="minorHAnsi"/>
          <w:b/>
          <w:bCs/>
          <w:sz w:val="22"/>
          <w:szCs w:val="22"/>
        </w:rPr>
        <w:t>r. oszacowano na poziomie 521 000 zł.</w:t>
      </w:r>
      <w:r w:rsidRPr="00937A49">
        <w:rPr>
          <w:rFonts w:asciiTheme="minorHAnsi" w:eastAsia="Calibri" w:hAnsiTheme="minorHAnsi" w:cstheme="minorHAnsi"/>
          <w:sz w:val="22"/>
          <w:szCs w:val="22"/>
        </w:rPr>
        <w:t xml:space="preserve"> </w:t>
      </w:r>
    </w:p>
    <w:p w14:paraId="5FC8D599" w14:textId="3ABD85ED" w:rsidR="00A97E45" w:rsidRPr="00937A49" w:rsidRDefault="007706EB"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Tym samym a</w:t>
      </w:r>
      <w:r w:rsidR="00A97E45" w:rsidRPr="00937A49">
        <w:rPr>
          <w:rFonts w:asciiTheme="minorHAnsi" w:eastAsia="Calibri" w:hAnsiTheme="minorHAnsi" w:cstheme="minorHAnsi"/>
          <w:sz w:val="22"/>
          <w:szCs w:val="22"/>
        </w:rPr>
        <w:t>naliza rentowności SKP</w:t>
      </w:r>
      <w:r w:rsidRPr="00937A49">
        <w:rPr>
          <w:rFonts w:asciiTheme="minorHAnsi" w:eastAsia="Calibri" w:hAnsiTheme="minorHAnsi" w:cstheme="minorHAnsi"/>
          <w:sz w:val="22"/>
          <w:szCs w:val="22"/>
        </w:rPr>
        <w:t xml:space="preserve"> wygląda następująco – jeśli przyjmiemy p</w:t>
      </w:r>
      <w:r w:rsidR="00A97E45" w:rsidRPr="00937A49">
        <w:rPr>
          <w:rFonts w:asciiTheme="minorHAnsi" w:eastAsia="Calibri" w:hAnsiTheme="minorHAnsi" w:cstheme="minorHAnsi"/>
          <w:sz w:val="22"/>
          <w:szCs w:val="22"/>
        </w:rPr>
        <w:t>rzychód średni</w:t>
      </w:r>
      <w:r w:rsidRPr="00937A49">
        <w:rPr>
          <w:rFonts w:asciiTheme="minorHAnsi" w:eastAsia="Calibri" w:hAnsiTheme="minorHAnsi" w:cstheme="minorHAnsi"/>
          <w:sz w:val="22"/>
          <w:szCs w:val="22"/>
        </w:rPr>
        <w:t xml:space="preserve"> w kwocie</w:t>
      </w:r>
      <w:r w:rsidR="00A97E45" w:rsidRPr="00937A49">
        <w:rPr>
          <w:rFonts w:asciiTheme="minorHAnsi" w:eastAsia="Calibri" w:hAnsiTheme="minorHAnsi" w:cstheme="minorHAnsi"/>
          <w:sz w:val="22"/>
          <w:szCs w:val="22"/>
        </w:rPr>
        <w:t xml:space="preserve"> 461 668 zł</w:t>
      </w:r>
      <w:r w:rsidRPr="00937A49">
        <w:rPr>
          <w:rFonts w:asciiTheme="minorHAnsi" w:eastAsia="Calibri" w:hAnsiTheme="minorHAnsi" w:cstheme="minorHAnsi"/>
          <w:sz w:val="22"/>
          <w:szCs w:val="22"/>
        </w:rPr>
        <w:t>, a ś</w:t>
      </w:r>
      <w:r w:rsidR="00A97E45" w:rsidRPr="00937A49">
        <w:rPr>
          <w:rFonts w:asciiTheme="minorHAnsi" w:eastAsia="Calibri" w:hAnsiTheme="minorHAnsi" w:cstheme="minorHAnsi"/>
          <w:sz w:val="22"/>
          <w:szCs w:val="22"/>
        </w:rPr>
        <w:t>redni wynik finansowy brutto pojedynczej SKP</w:t>
      </w:r>
      <w:r w:rsidRPr="00937A49">
        <w:rPr>
          <w:rFonts w:asciiTheme="minorHAnsi" w:eastAsia="Calibri" w:hAnsiTheme="minorHAnsi" w:cstheme="minorHAnsi"/>
          <w:sz w:val="22"/>
          <w:szCs w:val="22"/>
        </w:rPr>
        <w:t>, to</w:t>
      </w:r>
      <w:r w:rsidR="00935465" w:rsidRPr="00937A49">
        <w:rPr>
          <w:rFonts w:asciiTheme="minorHAnsi" w:eastAsia="Calibri" w:hAnsiTheme="minorHAnsi" w:cstheme="minorHAnsi"/>
          <w:sz w:val="22"/>
          <w:szCs w:val="22"/>
        </w:rPr>
        <w:t xml:space="preserve"> otrzymujmy</w:t>
      </w:r>
      <w:r w:rsidR="00A97E45" w:rsidRPr="00937A49">
        <w:rPr>
          <w:rFonts w:asciiTheme="minorHAnsi" w:eastAsia="Calibri" w:hAnsiTheme="minorHAnsi" w:cstheme="minorHAnsi"/>
          <w:sz w:val="22"/>
          <w:szCs w:val="22"/>
        </w:rPr>
        <w:t xml:space="preserve"> -59 332 zł (strata). </w:t>
      </w:r>
      <w:r w:rsidRPr="00937A49">
        <w:rPr>
          <w:rFonts w:asciiTheme="minorHAnsi" w:eastAsia="Calibri" w:hAnsiTheme="minorHAnsi" w:cstheme="minorHAnsi"/>
          <w:sz w:val="22"/>
          <w:szCs w:val="22"/>
        </w:rPr>
        <w:t xml:space="preserve">Innymi słowy, </w:t>
      </w:r>
      <w:r w:rsidRPr="00937A49">
        <w:rPr>
          <w:rFonts w:asciiTheme="minorHAnsi" w:eastAsia="Calibri" w:hAnsiTheme="minorHAnsi" w:cstheme="minorHAnsi"/>
          <w:b/>
          <w:bCs/>
          <w:sz w:val="22"/>
          <w:szCs w:val="22"/>
        </w:rPr>
        <w:t>ś</w:t>
      </w:r>
      <w:r w:rsidR="00A97E45" w:rsidRPr="00937A49">
        <w:rPr>
          <w:rFonts w:asciiTheme="minorHAnsi" w:eastAsia="Calibri" w:hAnsiTheme="minorHAnsi" w:cstheme="minorHAnsi"/>
          <w:b/>
          <w:bCs/>
          <w:sz w:val="22"/>
          <w:szCs w:val="22"/>
        </w:rPr>
        <w:t>rednia stacja w Polsce</w:t>
      </w:r>
      <w:r w:rsidR="00A97E45" w:rsidRPr="00937A49">
        <w:rPr>
          <w:rFonts w:asciiTheme="minorHAnsi" w:eastAsia="Calibri" w:hAnsiTheme="minorHAnsi" w:cstheme="minorHAnsi"/>
          <w:sz w:val="22"/>
          <w:szCs w:val="22"/>
        </w:rPr>
        <w:t>,</w:t>
      </w:r>
      <w:r w:rsidR="00A97E45" w:rsidRPr="00937A49">
        <w:rPr>
          <w:rFonts w:asciiTheme="minorHAnsi" w:eastAsia="Calibri" w:hAnsiTheme="minorHAnsi" w:cstheme="minorHAnsi"/>
          <w:b/>
          <w:bCs/>
          <w:sz w:val="22"/>
          <w:szCs w:val="22"/>
        </w:rPr>
        <w:t xml:space="preserve"> </w:t>
      </w:r>
      <w:r w:rsidR="00A97E45" w:rsidRPr="00937A49">
        <w:rPr>
          <w:rFonts w:asciiTheme="minorHAnsi" w:eastAsia="Calibri" w:hAnsiTheme="minorHAnsi" w:cstheme="minorHAnsi"/>
          <w:sz w:val="22"/>
          <w:szCs w:val="22"/>
        </w:rPr>
        <w:t>przy założeniu równomiernego podziału badań,</w:t>
      </w:r>
      <w:r w:rsidR="00A97E45" w:rsidRPr="00937A49">
        <w:rPr>
          <w:rFonts w:asciiTheme="minorHAnsi" w:eastAsia="Calibri" w:hAnsiTheme="minorHAnsi" w:cstheme="minorHAnsi"/>
          <w:b/>
          <w:bCs/>
          <w:sz w:val="22"/>
          <w:szCs w:val="22"/>
        </w:rPr>
        <w:t xml:space="preserve"> ponosi stratę w wysokości około 59 332 zł rocznie</w:t>
      </w:r>
      <w:r w:rsidR="00935465" w:rsidRPr="00937A49">
        <w:rPr>
          <w:rFonts w:asciiTheme="minorHAnsi" w:eastAsia="Calibri" w:hAnsiTheme="minorHAnsi" w:cstheme="minorHAnsi"/>
          <w:b/>
          <w:bCs/>
          <w:sz w:val="22"/>
          <w:szCs w:val="22"/>
        </w:rPr>
        <w:t>.</w:t>
      </w:r>
    </w:p>
    <w:p w14:paraId="7F72B6B7" w14:textId="77777777" w:rsidR="00943E78" w:rsidRPr="00937A49" w:rsidRDefault="00943E78" w:rsidP="00943E78">
      <w:pPr>
        <w:pStyle w:val="NormalnyWeb"/>
        <w:spacing w:before="0" w:beforeAutospacing="0" w:after="0" w:afterAutospacing="0"/>
        <w:jc w:val="both"/>
        <w:rPr>
          <w:rFonts w:asciiTheme="minorHAnsi" w:hAnsiTheme="minorHAnsi" w:cstheme="minorHAnsi"/>
          <w:color w:val="1F497D" w:themeColor="text2"/>
          <w:sz w:val="22"/>
          <w:szCs w:val="22"/>
          <w:lang w:eastAsia="en-US"/>
        </w:rPr>
      </w:pPr>
    </w:p>
    <w:p w14:paraId="36B74678" w14:textId="29496349" w:rsidR="00A97E45" w:rsidRPr="00937A49" w:rsidRDefault="00A97E45" w:rsidP="00943E78">
      <w:pPr>
        <w:pStyle w:val="NormalnyWeb"/>
        <w:spacing w:before="0" w:beforeAutospacing="0" w:after="0" w:afterAutospacing="0"/>
        <w:jc w:val="both"/>
        <w:rPr>
          <w:rFonts w:asciiTheme="minorHAnsi" w:hAnsiTheme="minorHAnsi" w:cstheme="minorHAnsi"/>
          <w:color w:val="1F497D" w:themeColor="text2"/>
          <w:sz w:val="22"/>
          <w:szCs w:val="22"/>
          <w:lang w:eastAsia="en-US"/>
        </w:rPr>
      </w:pPr>
      <w:r w:rsidRPr="00937A49">
        <w:rPr>
          <w:rFonts w:asciiTheme="minorHAnsi" w:hAnsiTheme="minorHAnsi" w:cstheme="minorHAnsi"/>
          <w:color w:val="1F497D" w:themeColor="text2"/>
          <w:sz w:val="22"/>
          <w:szCs w:val="22"/>
          <w:lang w:eastAsia="en-US"/>
        </w:rPr>
        <w:t>Wariant II. Analiza kosztów na podstawie próby 10 SKP</w:t>
      </w:r>
    </w:p>
    <w:p w14:paraId="04448DA3" w14:textId="77777777" w:rsidR="00943E78" w:rsidRPr="00937A49" w:rsidRDefault="00943E78" w:rsidP="00943E78">
      <w:pPr>
        <w:pStyle w:val="NormalnyWeb"/>
        <w:spacing w:before="0" w:beforeAutospacing="0" w:after="0" w:afterAutospacing="0"/>
        <w:jc w:val="both"/>
        <w:rPr>
          <w:rFonts w:asciiTheme="minorHAnsi" w:hAnsiTheme="minorHAnsi" w:cstheme="minorHAnsi"/>
          <w:sz w:val="22"/>
          <w:szCs w:val="22"/>
          <w:lang w:eastAsia="en-US"/>
        </w:rPr>
      </w:pPr>
    </w:p>
    <w:p w14:paraId="42911DD6" w14:textId="6ED88A75" w:rsidR="00A97E45" w:rsidRPr="00937A49" w:rsidRDefault="00A97E45" w:rsidP="00943E78">
      <w:pPr>
        <w:pStyle w:val="NormalnyWeb"/>
        <w:spacing w:before="0" w:beforeAutospacing="0" w:after="0" w:afterAutospacing="0"/>
        <w:jc w:val="both"/>
        <w:rPr>
          <w:rFonts w:asciiTheme="minorHAnsi" w:hAnsiTheme="minorHAnsi" w:cstheme="minorHAnsi"/>
          <w:b/>
          <w:bCs/>
          <w:sz w:val="22"/>
          <w:szCs w:val="22"/>
        </w:rPr>
      </w:pPr>
      <w:r w:rsidRPr="00937A49">
        <w:rPr>
          <w:rFonts w:asciiTheme="minorHAnsi" w:hAnsiTheme="minorHAnsi" w:cstheme="minorHAnsi"/>
          <w:sz w:val="22"/>
          <w:szCs w:val="22"/>
          <w:lang w:eastAsia="en-US"/>
        </w:rPr>
        <w:t>W tym wariancie przeprowadzono</w:t>
      </w:r>
      <w:r w:rsidRPr="00937A49">
        <w:rPr>
          <w:rFonts w:asciiTheme="minorHAnsi" w:hAnsiTheme="minorHAnsi" w:cstheme="minorHAnsi"/>
          <w:b/>
          <w:bCs/>
          <w:sz w:val="22"/>
          <w:szCs w:val="22"/>
          <w:lang w:eastAsia="en-US"/>
        </w:rPr>
        <w:t xml:space="preserve"> </w:t>
      </w:r>
      <w:r w:rsidRPr="00937A49">
        <w:rPr>
          <w:rFonts w:asciiTheme="minorHAnsi" w:hAnsiTheme="minorHAnsi" w:cstheme="minorHAnsi"/>
          <w:sz w:val="22"/>
          <w:szCs w:val="22"/>
          <w:lang w:eastAsia="en-US"/>
        </w:rPr>
        <w:t>analizę finansową na podstawie 10 wybranych SKP, spośród 18</w:t>
      </w:r>
      <w:r w:rsidR="0074187C" w:rsidRPr="00937A49">
        <w:rPr>
          <w:rFonts w:asciiTheme="minorHAnsi" w:hAnsiTheme="minorHAnsi" w:cstheme="minorHAnsi"/>
          <w:sz w:val="22"/>
          <w:szCs w:val="22"/>
          <w:lang w:eastAsia="en-US"/>
        </w:rPr>
        <w:t> </w:t>
      </w:r>
      <w:r w:rsidRPr="00937A49">
        <w:rPr>
          <w:rFonts w:asciiTheme="minorHAnsi" w:hAnsiTheme="minorHAnsi" w:cstheme="minorHAnsi"/>
          <w:sz w:val="22"/>
          <w:szCs w:val="22"/>
          <w:lang w:eastAsia="en-US"/>
        </w:rPr>
        <w:t>ankietowanych firm.</w:t>
      </w:r>
      <w:r w:rsidR="007409D8" w:rsidRPr="00937A49">
        <w:rPr>
          <w:rFonts w:asciiTheme="minorHAnsi" w:hAnsiTheme="minorHAnsi" w:cstheme="minorHAnsi"/>
          <w:sz w:val="22"/>
          <w:szCs w:val="22"/>
          <w:lang w:eastAsia="en-US"/>
        </w:rPr>
        <w:t xml:space="preserve"> Rezultaty?</w:t>
      </w:r>
      <w:r w:rsidRPr="00937A49">
        <w:rPr>
          <w:rFonts w:asciiTheme="minorHAnsi" w:hAnsiTheme="minorHAnsi" w:cstheme="minorHAnsi"/>
          <w:sz w:val="22"/>
          <w:szCs w:val="22"/>
          <w:lang w:eastAsia="en-US"/>
        </w:rPr>
        <w:t xml:space="preserve"> </w:t>
      </w:r>
      <w:r w:rsidR="007409D8" w:rsidRPr="00937A49">
        <w:rPr>
          <w:rFonts w:asciiTheme="minorHAnsi" w:hAnsiTheme="minorHAnsi" w:cstheme="minorHAnsi"/>
          <w:sz w:val="22"/>
          <w:szCs w:val="22"/>
          <w:lang w:eastAsia="en-US"/>
        </w:rPr>
        <w:t>Ś</w:t>
      </w:r>
      <w:r w:rsidRPr="00937A49">
        <w:rPr>
          <w:rFonts w:asciiTheme="minorHAnsi" w:hAnsiTheme="minorHAnsi" w:cstheme="minorHAnsi"/>
          <w:sz w:val="22"/>
          <w:szCs w:val="22"/>
          <w:lang w:eastAsia="en-US"/>
        </w:rPr>
        <w:t>redni roczny koszt funkcjonowania pojedynczej</w:t>
      </w:r>
      <w:r w:rsidR="007409D8" w:rsidRPr="00937A49">
        <w:rPr>
          <w:rFonts w:asciiTheme="minorHAnsi" w:hAnsiTheme="minorHAnsi" w:cstheme="minorHAnsi"/>
          <w:sz w:val="22"/>
          <w:szCs w:val="22"/>
          <w:lang w:eastAsia="en-US"/>
        </w:rPr>
        <w:t xml:space="preserve">, </w:t>
      </w:r>
      <w:r w:rsidRPr="00937A49">
        <w:rPr>
          <w:rFonts w:asciiTheme="minorHAnsi" w:hAnsiTheme="minorHAnsi" w:cstheme="minorHAnsi"/>
          <w:sz w:val="22"/>
          <w:szCs w:val="22"/>
          <w:lang w:eastAsia="en-US"/>
        </w:rPr>
        <w:t>podstawowej SKP</w:t>
      </w:r>
      <w:r w:rsidR="007409D8" w:rsidRPr="00937A49">
        <w:rPr>
          <w:rFonts w:asciiTheme="minorHAnsi" w:hAnsiTheme="minorHAnsi" w:cstheme="minorHAnsi"/>
          <w:sz w:val="22"/>
          <w:szCs w:val="22"/>
          <w:lang w:eastAsia="en-US"/>
        </w:rPr>
        <w:t xml:space="preserve"> wynosi</w:t>
      </w:r>
      <w:r w:rsidRPr="00937A49">
        <w:rPr>
          <w:rFonts w:asciiTheme="minorHAnsi" w:hAnsiTheme="minorHAnsi" w:cstheme="minorHAnsi"/>
          <w:sz w:val="22"/>
          <w:szCs w:val="22"/>
          <w:lang w:eastAsia="en-US"/>
        </w:rPr>
        <w:t xml:space="preserve"> 386 920 zł rocznie, a okręgowej 664 303 zł. Przy założeniu działalności w</w:t>
      </w:r>
      <w:r w:rsidR="0074187C" w:rsidRPr="00937A49">
        <w:rPr>
          <w:rFonts w:asciiTheme="minorHAnsi" w:hAnsiTheme="minorHAnsi" w:cstheme="minorHAnsi"/>
          <w:sz w:val="22"/>
          <w:szCs w:val="22"/>
          <w:lang w:eastAsia="en-US"/>
        </w:rPr>
        <w:t> </w:t>
      </w:r>
      <w:r w:rsidRPr="00937A49">
        <w:rPr>
          <w:rFonts w:asciiTheme="minorHAnsi" w:hAnsiTheme="minorHAnsi" w:cstheme="minorHAnsi"/>
          <w:sz w:val="22"/>
          <w:szCs w:val="22"/>
          <w:lang w:eastAsia="en-US"/>
        </w:rPr>
        <w:t>mniejszym mieście lub na obrzeżach aglomeracji średni koszt podstawowej SKP to: 358 tys. zł rocznie, dla</w:t>
      </w:r>
      <w:r w:rsidR="0074187C" w:rsidRPr="00937A49">
        <w:rPr>
          <w:rFonts w:asciiTheme="minorHAnsi" w:hAnsiTheme="minorHAnsi" w:cstheme="minorHAnsi"/>
          <w:sz w:val="22"/>
          <w:szCs w:val="22"/>
          <w:lang w:eastAsia="en-US"/>
        </w:rPr>
        <w:t> </w:t>
      </w:r>
      <w:r w:rsidRPr="00937A49">
        <w:rPr>
          <w:rFonts w:asciiTheme="minorHAnsi" w:hAnsiTheme="minorHAnsi" w:cstheme="minorHAnsi"/>
          <w:sz w:val="22"/>
          <w:szCs w:val="22"/>
          <w:lang w:eastAsia="en-US"/>
        </w:rPr>
        <w:t>standardowych stacji z</w:t>
      </w:r>
      <w:r w:rsidR="00137E75" w:rsidRPr="00937A49">
        <w:rPr>
          <w:rFonts w:asciiTheme="minorHAnsi" w:hAnsiTheme="minorHAnsi" w:cstheme="minorHAnsi"/>
          <w:sz w:val="22"/>
          <w:szCs w:val="22"/>
          <w:lang w:eastAsia="en-US"/>
        </w:rPr>
        <w:t> </w:t>
      </w:r>
      <w:r w:rsidRPr="00937A49">
        <w:rPr>
          <w:rFonts w:asciiTheme="minorHAnsi" w:hAnsiTheme="minorHAnsi" w:cstheme="minorHAnsi"/>
          <w:sz w:val="22"/>
          <w:szCs w:val="22"/>
          <w:lang w:eastAsia="en-US"/>
        </w:rPr>
        <w:t>pełnym wyposażeniem.</w:t>
      </w:r>
      <w:r w:rsidRPr="00937A49">
        <w:rPr>
          <w:rFonts w:asciiTheme="minorHAnsi" w:hAnsiTheme="minorHAnsi" w:cstheme="minorHAnsi"/>
          <w:b/>
          <w:bCs/>
          <w:sz w:val="22"/>
          <w:szCs w:val="22"/>
          <w:lang w:eastAsia="en-US"/>
        </w:rPr>
        <w:t xml:space="preserve"> </w:t>
      </w:r>
      <w:r w:rsidRPr="00937A49">
        <w:rPr>
          <w:rFonts w:asciiTheme="minorHAnsi" w:hAnsiTheme="minorHAnsi" w:cstheme="minorHAnsi"/>
          <w:sz w:val="22"/>
          <w:szCs w:val="22"/>
          <w:lang w:eastAsia="en-US"/>
        </w:rPr>
        <w:t>Koszt działalności stacji o podwyższonym standardzie technologicznym</w:t>
      </w:r>
      <w:r w:rsidR="00935465" w:rsidRPr="00937A49">
        <w:rPr>
          <w:rFonts w:asciiTheme="minorHAnsi" w:hAnsiTheme="minorHAnsi" w:cstheme="minorHAnsi"/>
          <w:sz w:val="22"/>
          <w:szCs w:val="22"/>
          <w:lang w:eastAsia="en-US"/>
        </w:rPr>
        <w:t xml:space="preserve"> to</w:t>
      </w:r>
      <w:r w:rsidRPr="00937A49">
        <w:rPr>
          <w:rFonts w:asciiTheme="minorHAnsi" w:hAnsiTheme="minorHAnsi" w:cstheme="minorHAnsi"/>
          <w:sz w:val="22"/>
          <w:szCs w:val="22"/>
          <w:lang w:eastAsia="en-US"/>
        </w:rPr>
        <w:t xml:space="preserve"> 411 tys. zł rocznie.</w:t>
      </w:r>
      <w:r w:rsidRPr="00937A49">
        <w:rPr>
          <w:rFonts w:asciiTheme="minorHAnsi" w:hAnsiTheme="minorHAnsi" w:cstheme="minorHAnsi"/>
          <w:b/>
          <w:bCs/>
          <w:sz w:val="22"/>
          <w:szCs w:val="22"/>
          <w:lang w:eastAsia="en-US"/>
        </w:rPr>
        <w:t xml:space="preserve"> </w:t>
      </w:r>
    </w:p>
    <w:p w14:paraId="251B9848" w14:textId="77777777" w:rsidR="00943E78" w:rsidRPr="00937A49" w:rsidRDefault="00943E78" w:rsidP="00943E78">
      <w:pPr>
        <w:jc w:val="both"/>
        <w:rPr>
          <w:rFonts w:asciiTheme="minorHAnsi" w:hAnsiTheme="minorHAnsi" w:cstheme="minorHAnsi"/>
          <w:b/>
          <w:bCs/>
          <w:sz w:val="22"/>
          <w:szCs w:val="22"/>
        </w:rPr>
      </w:pPr>
    </w:p>
    <w:p w14:paraId="3BF06FC3" w14:textId="54FA65AE" w:rsidR="00A97E45" w:rsidRPr="00937A49" w:rsidRDefault="00A97E45" w:rsidP="00943E78">
      <w:pPr>
        <w:jc w:val="both"/>
        <w:rPr>
          <w:rFonts w:asciiTheme="minorHAnsi" w:eastAsia="Calibri" w:hAnsiTheme="minorHAnsi" w:cstheme="minorHAnsi"/>
          <w:sz w:val="22"/>
          <w:szCs w:val="22"/>
        </w:rPr>
      </w:pPr>
      <w:r w:rsidRPr="00937A49">
        <w:rPr>
          <w:rFonts w:asciiTheme="minorHAnsi" w:hAnsiTheme="minorHAnsi" w:cstheme="minorHAnsi"/>
          <w:b/>
          <w:bCs/>
          <w:sz w:val="22"/>
          <w:szCs w:val="22"/>
        </w:rPr>
        <w:t>Średnie roczne koszty utrzymania stacji kontroli pojazdów w 2024 r. w badanej próbie ankietowanych SKP wyniosły 506</w:t>
      </w:r>
      <w:r w:rsidR="00943E78" w:rsidRPr="00937A49">
        <w:rPr>
          <w:rFonts w:asciiTheme="minorHAnsi" w:hAnsiTheme="minorHAnsi" w:cstheme="minorHAnsi"/>
          <w:b/>
          <w:bCs/>
          <w:sz w:val="22"/>
          <w:szCs w:val="22"/>
        </w:rPr>
        <w:t xml:space="preserve"> </w:t>
      </w:r>
      <w:r w:rsidRPr="00937A49">
        <w:rPr>
          <w:rFonts w:asciiTheme="minorHAnsi" w:hAnsiTheme="minorHAnsi" w:cstheme="minorHAnsi"/>
          <w:b/>
          <w:bCs/>
          <w:sz w:val="22"/>
          <w:szCs w:val="22"/>
        </w:rPr>
        <w:t>857 zł</w:t>
      </w:r>
      <w:r w:rsidRPr="00937A49">
        <w:rPr>
          <w:rFonts w:asciiTheme="minorHAnsi" w:hAnsiTheme="minorHAnsi" w:cstheme="minorHAnsi"/>
          <w:sz w:val="22"/>
          <w:szCs w:val="22"/>
        </w:rPr>
        <w:t xml:space="preserve">, uwzględniając przyjętą strukturę i wszystkie składowe kosztów. </w:t>
      </w:r>
      <w:r w:rsidR="00494D6C" w:rsidRPr="00937A49">
        <w:rPr>
          <w:rFonts w:asciiTheme="minorHAnsi" w:hAnsiTheme="minorHAnsi" w:cstheme="minorHAnsi"/>
          <w:sz w:val="22"/>
          <w:szCs w:val="22"/>
        </w:rPr>
        <w:t xml:space="preserve">Natomiast </w:t>
      </w:r>
      <w:r w:rsidR="00494D6C" w:rsidRPr="00937A49">
        <w:rPr>
          <w:rFonts w:asciiTheme="minorHAnsi" w:eastAsia="Calibri" w:hAnsiTheme="minorHAnsi" w:cstheme="minorHAnsi"/>
          <w:b/>
          <w:bCs/>
          <w:sz w:val="22"/>
          <w:szCs w:val="22"/>
        </w:rPr>
        <w:t>ś</w:t>
      </w:r>
      <w:r w:rsidRPr="00937A49">
        <w:rPr>
          <w:rFonts w:asciiTheme="minorHAnsi" w:eastAsia="Calibri" w:hAnsiTheme="minorHAnsi" w:cstheme="minorHAnsi"/>
          <w:b/>
          <w:bCs/>
          <w:sz w:val="22"/>
          <w:szCs w:val="22"/>
        </w:rPr>
        <w:t>redni wynik finansowy brutto pojedynczej SKP w badanej próbie wyniósł -57 907 zł (strata).</w:t>
      </w:r>
      <w:r w:rsidRPr="00937A49">
        <w:rPr>
          <w:rFonts w:asciiTheme="minorHAnsi" w:eastAsia="Calibri" w:hAnsiTheme="minorHAnsi" w:cstheme="minorHAnsi"/>
          <w:sz w:val="22"/>
          <w:szCs w:val="22"/>
        </w:rPr>
        <w:t xml:space="preserve"> </w:t>
      </w:r>
    </w:p>
    <w:p w14:paraId="17E769C6" w14:textId="77777777" w:rsidR="00943E78" w:rsidRPr="00937A49" w:rsidRDefault="00943E78" w:rsidP="00943E78">
      <w:pPr>
        <w:pStyle w:val="NormalnyWeb"/>
        <w:spacing w:before="0" w:beforeAutospacing="0" w:after="0" w:afterAutospacing="0"/>
        <w:jc w:val="both"/>
        <w:rPr>
          <w:rFonts w:asciiTheme="minorHAnsi" w:hAnsiTheme="minorHAnsi" w:cstheme="minorHAnsi"/>
          <w:sz w:val="22"/>
          <w:szCs w:val="22"/>
          <w:lang w:eastAsia="en-US"/>
        </w:rPr>
      </w:pPr>
    </w:p>
    <w:p w14:paraId="11FC59C5" w14:textId="1D03051A" w:rsidR="00A97E45" w:rsidRPr="00937A49" w:rsidRDefault="00A97E45" w:rsidP="00943E78">
      <w:pPr>
        <w:pStyle w:val="NormalnyWeb"/>
        <w:spacing w:before="0" w:beforeAutospacing="0" w:after="0" w:afterAutospacing="0"/>
        <w:jc w:val="both"/>
        <w:rPr>
          <w:rFonts w:asciiTheme="minorHAnsi" w:hAnsiTheme="minorHAnsi" w:cstheme="minorHAnsi"/>
          <w:sz w:val="22"/>
          <w:szCs w:val="22"/>
          <w:lang w:eastAsia="en-US"/>
        </w:rPr>
      </w:pPr>
      <w:r w:rsidRPr="00937A49">
        <w:rPr>
          <w:rFonts w:asciiTheme="minorHAnsi" w:hAnsiTheme="minorHAnsi" w:cstheme="minorHAnsi"/>
          <w:sz w:val="22"/>
          <w:szCs w:val="22"/>
          <w:lang w:eastAsia="en-US"/>
        </w:rPr>
        <w:t>Przedstawione obliczenia (wariant I-II) pokazują, że SKP działają znacznie poniżej progu rentowności, a ich stan finansowy pogarsza się. Obliczenia wykonane na próbie 10 ankietowanych SKP (wg wariantu II) dały wprawdzie nieco mniejszą średnią stratę SKP niż wg wariantu I, ale różnica ta w odniesieniu do szacowanych kosztów obu wariantów analizy była marginalna (poniżej 0,5</w:t>
      </w:r>
      <w:r w:rsidR="00935465" w:rsidRPr="00937A49">
        <w:rPr>
          <w:rFonts w:asciiTheme="minorHAnsi" w:hAnsiTheme="minorHAnsi" w:cstheme="minorHAnsi"/>
          <w:sz w:val="22"/>
          <w:szCs w:val="22"/>
          <w:lang w:eastAsia="en-US"/>
        </w:rPr>
        <w:t xml:space="preserve"> proc.</w:t>
      </w:r>
      <w:r w:rsidRPr="00937A49">
        <w:rPr>
          <w:rFonts w:asciiTheme="minorHAnsi" w:hAnsiTheme="minorHAnsi" w:cstheme="minorHAnsi"/>
          <w:sz w:val="22"/>
          <w:szCs w:val="22"/>
          <w:lang w:eastAsia="en-US"/>
        </w:rPr>
        <w:t xml:space="preserve">). Ponadto, zmniejszenie liczby stacji </w:t>
      </w:r>
      <w:r w:rsidR="0074187C" w:rsidRPr="00937A49">
        <w:rPr>
          <w:rFonts w:asciiTheme="minorHAnsi" w:hAnsiTheme="minorHAnsi" w:cstheme="minorHAnsi"/>
          <w:sz w:val="22"/>
          <w:szCs w:val="22"/>
          <w:lang w:eastAsia="en-US"/>
        </w:rPr>
        <w:br/>
      </w:r>
      <w:r w:rsidRPr="00937A49">
        <w:rPr>
          <w:rFonts w:asciiTheme="minorHAnsi" w:hAnsiTheme="minorHAnsi" w:cstheme="minorHAnsi"/>
          <w:sz w:val="22"/>
          <w:szCs w:val="22"/>
          <w:lang w:eastAsia="en-US"/>
        </w:rPr>
        <w:t>z 5</w:t>
      </w:r>
      <w:r w:rsidR="00935465" w:rsidRPr="00937A49">
        <w:rPr>
          <w:rFonts w:asciiTheme="minorHAnsi" w:hAnsiTheme="minorHAnsi" w:cstheme="minorHAnsi"/>
          <w:sz w:val="22"/>
          <w:szCs w:val="22"/>
          <w:lang w:eastAsia="en-US"/>
        </w:rPr>
        <w:t xml:space="preserve"> </w:t>
      </w:r>
      <w:r w:rsidRPr="00937A49">
        <w:rPr>
          <w:rFonts w:asciiTheme="minorHAnsi" w:hAnsiTheme="minorHAnsi" w:cstheme="minorHAnsi"/>
          <w:sz w:val="22"/>
          <w:szCs w:val="22"/>
          <w:lang w:eastAsia="en-US"/>
        </w:rPr>
        <w:t>467 do 5</w:t>
      </w:r>
      <w:r w:rsidR="00935465" w:rsidRPr="00937A49">
        <w:rPr>
          <w:rFonts w:asciiTheme="minorHAnsi" w:hAnsiTheme="minorHAnsi" w:cstheme="minorHAnsi"/>
          <w:sz w:val="22"/>
          <w:szCs w:val="22"/>
          <w:lang w:eastAsia="en-US"/>
        </w:rPr>
        <w:t xml:space="preserve"> </w:t>
      </w:r>
      <w:r w:rsidRPr="00937A49">
        <w:rPr>
          <w:rFonts w:asciiTheme="minorHAnsi" w:hAnsiTheme="minorHAnsi" w:cstheme="minorHAnsi"/>
          <w:sz w:val="22"/>
          <w:szCs w:val="22"/>
          <w:lang w:eastAsia="en-US"/>
        </w:rPr>
        <w:t xml:space="preserve">429 w 2024 r. wpłynęło na dalsze pogorszenie rentowności SKP, </w:t>
      </w:r>
      <w:r w:rsidR="002C61B0" w:rsidRPr="00937A49">
        <w:rPr>
          <w:rFonts w:asciiTheme="minorHAnsi" w:hAnsiTheme="minorHAnsi" w:cstheme="minorHAnsi"/>
          <w:sz w:val="22"/>
          <w:szCs w:val="22"/>
          <w:lang w:eastAsia="en-US"/>
        </w:rPr>
        <w:t>mimo wzrostu</w:t>
      </w:r>
      <w:r w:rsidRPr="00937A49">
        <w:rPr>
          <w:rFonts w:asciiTheme="minorHAnsi" w:hAnsiTheme="minorHAnsi" w:cstheme="minorHAnsi"/>
          <w:sz w:val="22"/>
          <w:szCs w:val="22"/>
          <w:lang w:eastAsia="en-US"/>
        </w:rPr>
        <w:t xml:space="preserve"> liczby okresowych badań technicznych wykonanych Polsce w tym czasie (w latach 2021-2024 notowano - 8-10</w:t>
      </w:r>
      <w:r w:rsidR="0074187C" w:rsidRPr="00937A49">
        <w:rPr>
          <w:rFonts w:asciiTheme="minorHAnsi" w:hAnsiTheme="minorHAnsi" w:cstheme="minorHAnsi"/>
          <w:sz w:val="22"/>
          <w:szCs w:val="22"/>
          <w:lang w:eastAsia="en-US"/>
        </w:rPr>
        <w:t xml:space="preserve"> proc.</w:t>
      </w:r>
      <w:r w:rsidRPr="00937A49">
        <w:rPr>
          <w:rFonts w:asciiTheme="minorHAnsi" w:hAnsiTheme="minorHAnsi" w:cstheme="minorHAnsi"/>
          <w:sz w:val="22"/>
          <w:szCs w:val="22"/>
          <w:lang w:eastAsia="en-US"/>
        </w:rPr>
        <w:t xml:space="preserve"> wzrost badań, w</w:t>
      </w:r>
      <w:r w:rsidR="00935465" w:rsidRPr="00937A49">
        <w:rPr>
          <w:rFonts w:asciiTheme="minorHAnsi" w:hAnsiTheme="minorHAnsi" w:cstheme="minorHAnsi"/>
          <w:sz w:val="22"/>
          <w:szCs w:val="22"/>
          <w:lang w:eastAsia="en-US"/>
        </w:rPr>
        <w:t>edłu</w:t>
      </w:r>
      <w:r w:rsidRPr="00937A49">
        <w:rPr>
          <w:rFonts w:asciiTheme="minorHAnsi" w:hAnsiTheme="minorHAnsi" w:cstheme="minorHAnsi"/>
          <w:sz w:val="22"/>
          <w:szCs w:val="22"/>
          <w:lang w:eastAsia="en-US"/>
        </w:rPr>
        <w:t xml:space="preserve">g </w:t>
      </w:r>
      <w:proofErr w:type="spellStart"/>
      <w:r w:rsidRPr="00937A49">
        <w:rPr>
          <w:rFonts w:asciiTheme="minorHAnsi" w:hAnsiTheme="minorHAnsi" w:cstheme="minorHAnsi"/>
          <w:sz w:val="22"/>
          <w:szCs w:val="22"/>
          <w:lang w:eastAsia="en-US"/>
        </w:rPr>
        <w:t>CEPiK</w:t>
      </w:r>
      <w:proofErr w:type="spellEnd"/>
      <w:r w:rsidRPr="00937A49">
        <w:rPr>
          <w:rFonts w:asciiTheme="minorHAnsi" w:hAnsiTheme="minorHAnsi" w:cstheme="minorHAnsi"/>
          <w:sz w:val="22"/>
          <w:szCs w:val="22"/>
          <w:lang w:eastAsia="en-US"/>
        </w:rPr>
        <w:t>).</w:t>
      </w:r>
    </w:p>
    <w:p w14:paraId="3BFA5B8A" w14:textId="70F8AC07" w:rsidR="00943E78" w:rsidRPr="00937A49" w:rsidRDefault="005713AB" w:rsidP="005713AB">
      <w:pPr>
        <w:tabs>
          <w:tab w:val="left" w:pos="3580"/>
        </w:tabs>
        <w:jc w:val="both"/>
        <w:rPr>
          <w:rFonts w:asciiTheme="minorHAnsi" w:eastAsia="Calibri" w:hAnsiTheme="minorHAnsi" w:cstheme="minorHAnsi"/>
          <w:color w:val="1F497D" w:themeColor="text2"/>
          <w:sz w:val="22"/>
          <w:szCs w:val="22"/>
        </w:rPr>
      </w:pPr>
      <w:r w:rsidRPr="00937A49">
        <w:rPr>
          <w:rFonts w:asciiTheme="minorHAnsi" w:eastAsia="Calibri" w:hAnsiTheme="minorHAnsi" w:cstheme="minorHAnsi"/>
          <w:color w:val="1F497D" w:themeColor="text2"/>
          <w:sz w:val="22"/>
          <w:szCs w:val="22"/>
        </w:rPr>
        <w:tab/>
      </w:r>
    </w:p>
    <w:p w14:paraId="25BAF31D" w14:textId="23D1A02B" w:rsidR="0074187C" w:rsidRPr="00937A49" w:rsidRDefault="0074187C" w:rsidP="00943E78">
      <w:pPr>
        <w:jc w:val="both"/>
        <w:rPr>
          <w:rFonts w:asciiTheme="minorHAnsi" w:eastAsia="Calibri" w:hAnsiTheme="minorHAnsi" w:cstheme="minorHAnsi"/>
          <w:color w:val="1F497D" w:themeColor="text2"/>
          <w:sz w:val="22"/>
          <w:szCs w:val="22"/>
        </w:rPr>
      </w:pPr>
      <w:r w:rsidRPr="00937A49">
        <w:rPr>
          <w:rFonts w:asciiTheme="minorHAnsi" w:eastAsia="Calibri" w:hAnsiTheme="minorHAnsi" w:cstheme="minorHAnsi"/>
          <w:color w:val="1F497D" w:themeColor="text2"/>
          <w:sz w:val="22"/>
          <w:szCs w:val="22"/>
        </w:rPr>
        <w:t>Ceny przeglądów w wybranych krajach UE</w:t>
      </w:r>
    </w:p>
    <w:p w14:paraId="1BD4152A" w14:textId="77777777" w:rsidR="005713AB" w:rsidRPr="00937A49" w:rsidRDefault="005713AB" w:rsidP="00943E78">
      <w:pPr>
        <w:jc w:val="both"/>
        <w:rPr>
          <w:rFonts w:asciiTheme="minorHAnsi" w:eastAsia="Calibri" w:hAnsiTheme="minorHAnsi" w:cstheme="minorHAnsi"/>
          <w:sz w:val="22"/>
          <w:szCs w:val="22"/>
        </w:rPr>
      </w:pPr>
    </w:p>
    <w:p w14:paraId="2D807603" w14:textId="3400464B" w:rsidR="0074187C" w:rsidRPr="00937A49" w:rsidRDefault="0074187C"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Dla porównania, koszty funkcjonowania stacji kontroli pojazdów w krajach Europy Zachodniej kształtują się na innym poziomie, co bezpośrednio wpływa na ceny badań technicznych. W Niemczech koszt badania technicznego wynosi 120</w:t>
      </w:r>
      <w:r w:rsidR="00BC7008"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 200 euro</w:t>
      </w:r>
      <w:r w:rsidR="005713AB" w:rsidRPr="00937A49">
        <w:rPr>
          <w:rFonts w:asciiTheme="minorHAnsi" w:eastAsia="Calibri" w:hAnsiTheme="minorHAnsi" w:cstheme="minorHAnsi"/>
          <w:sz w:val="22"/>
          <w:szCs w:val="22"/>
        </w:rPr>
        <w:t>.</w:t>
      </w:r>
      <w:r w:rsidRPr="00937A49">
        <w:rPr>
          <w:rFonts w:asciiTheme="minorHAnsi" w:eastAsia="Calibri" w:hAnsiTheme="minorHAnsi" w:cstheme="minorHAnsi"/>
          <w:sz w:val="22"/>
          <w:szCs w:val="22"/>
        </w:rPr>
        <w:t xml:space="preserve"> W Niderlandach </w:t>
      </w:r>
      <w:r w:rsidR="00BC7008" w:rsidRPr="00937A49">
        <w:rPr>
          <w:rFonts w:asciiTheme="minorHAnsi" w:eastAsia="Calibri" w:hAnsiTheme="minorHAnsi" w:cstheme="minorHAnsi"/>
          <w:sz w:val="22"/>
          <w:szCs w:val="22"/>
        </w:rPr>
        <w:t xml:space="preserve">koszty te wahają się </w:t>
      </w:r>
      <w:r w:rsidRPr="00937A49">
        <w:rPr>
          <w:rFonts w:asciiTheme="minorHAnsi" w:eastAsia="Calibri" w:hAnsiTheme="minorHAnsi" w:cstheme="minorHAnsi"/>
          <w:sz w:val="22"/>
          <w:szCs w:val="22"/>
        </w:rPr>
        <w:t>od 50 do 70 euro. We Włoszech</w:t>
      </w:r>
      <w:r w:rsidR="00B80F46" w:rsidRPr="00937A49">
        <w:rPr>
          <w:rFonts w:asciiTheme="minorHAnsi" w:eastAsia="Calibri" w:hAnsiTheme="minorHAnsi" w:cstheme="minorHAnsi"/>
          <w:sz w:val="22"/>
          <w:szCs w:val="22"/>
        </w:rPr>
        <w:t xml:space="preserve"> jest to</w:t>
      </w:r>
      <w:r w:rsidRPr="00937A49">
        <w:rPr>
          <w:rFonts w:asciiTheme="minorHAnsi" w:eastAsia="Calibri" w:hAnsiTheme="minorHAnsi" w:cstheme="minorHAnsi"/>
          <w:sz w:val="22"/>
          <w:szCs w:val="22"/>
        </w:rPr>
        <w:t xml:space="preserve"> od 50 do 80 euro (przy czym pierwsza kontrola pojazdu jest po 4 latach)</w:t>
      </w:r>
      <w:r w:rsidR="00B80F46" w:rsidRPr="00937A49">
        <w:rPr>
          <w:rFonts w:asciiTheme="minorHAnsi" w:eastAsia="Calibri" w:hAnsiTheme="minorHAnsi" w:cstheme="minorHAnsi"/>
          <w:sz w:val="22"/>
          <w:szCs w:val="22"/>
        </w:rPr>
        <w:t>, w</w:t>
      </w:r>
      <w:r w:rsidRPr="00937A49">
        <w:rPr>
          <w:rFonts w:asciiTheme="minorHAnsi" w:eastAsia="Calibri" w:hAnsiTheme="minorHAnsi" w:cstheme="minorHAnsi"/>
          <w:sz w:val="22"/>
          <w:szCs w:val="22"/>
        </w:rPr>
        <w:t xml:space="preserve"> Hiszpanii 44</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55 euro (opłata uzależniona od wieku samochodu i układów oczyszczania spalin)</w:t>
      </w:r>
      <w:r w:rsidR="00B80F46" w:rsidRPr="00937A49">
        <w:rPr>
          <w:rFonts w:asciiTheme="minorHAnsi" w:eastAsia="Calibri" w:hAnsiTheme="minorHAnsi" w:cstheme="minorHAnsi"/>
          <w:sz w:val="22"/>
          <w:szCs w:val="22"/>
        </w:rPr>
        <w:t>, w</w:t>
      </w:r>
      <w:r w:rsidRPr="00937A49">
        <w:rPr>
          <w:rFonts w:asciiTheme="minorHAnsi" w:eastAsia="Calibri" w:hAnsiTheme="minorHAnsi" w:cstheme="minorHAnsi"/>
          <w:sz w:val="22"/>
          <w:szCs w:val="22"/>
        </w:rPr>
        <w:t xml:space="preserve">  Austri</w:t>
      </w:r>
      <w:r w:rsidR="005713AB" w:rsidRPr="00937A49">
        <w:rPr>
          <w:rFonts w:asciiTheme="minorHAnsi" w:eastAsia="Calibri" w:hAnsiTheme="minorHAnsi" w:cstheme="minorHAnsi"/>
          <w:sz w:val="22"/>
          <w:szCs w:val="22"/>
        </w:rPr>
        <w:t>i</w:t>
      </w:r>
      <w:r w:rsidR="00B80F46" w:rsidRPr="00937A49">
        <w:rPr>
          <w:rFonts w:asciiTheme="minorHAnsi" w:eastAsia="Calibri" w:hAnsiTheme="minorHAnsi" w:cstheme="minorHAnsi"/>
          <w:sz w:val="22"/>
          <w:szCs w:val="22"/>
        </w:rPr>
        <w:t xml:space="preserve"> jest to</w:t>
      </w:r>
      <w:r w:rsidRPr="00937A49">
        <w:rPr>
          <w:rFonts w:asciiTheme="minorHAnsi" w:eastAsia="Calibri" w:hAnsiTheme="minorHAnsi" w:cstheme="minorHAnsi"/>
          <w:sz w:val="22"/>
          <w:szCs w:val="22"/>
        </w:rPr>
        <w:t xml:space="preserve"> 60</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 xml:space="preserve">80 euro; </w:t>
      </w:r>
      <w:r w:rsidR="00B80F46" w:rsidRPr="00937A49">
        <w:rPr>
          <w:rFonts w:asciiTheme="minorHAnsi" w:eastAsia="Calibri" w:hAnsiTheme="minorHAnsi" w:cstheme="minorHAnsi"/>
          <w:sz w:val="22"/>
          <w:szCs w:val="22"/>
        </w:rPr>
        <w:t xml:space="preserve">na </w:t>
      </w:r>
      <w:r w:rsidRPr="00937A49">
        <w:rPr>
          <w:rFonts w:asciiTheme="minorHAnsi" w:eastAsia="Calibri" w:hAnsiTheme="minorHAnsi" w:cstheme="minorHAnsi"/>
          <w:sz w:val="22"/>
          <w:szCs w:val="22"/>
        </w:rPr>
        <w:lastRenderedPageBreak/>
        <w:t>Słowacj</w:t>
      </w:r>
      <w:r w:rsidR="00B80F46" w:rsidRPr="00937A49">
        <w:rPr>
          <w:rFonts w:asciiTheme="minorHAnsi" w:eastAsia="Calibri" w:hAnsiTheme="minorHAnsi" w:cstheme="minorHAnsi"/>
          <w:sz w:val="22"/>
          <w:szCs w:val="22"/>
        </w:rPr>
        <w:t>i</w:t>
      </w:r>
      <w:r w:rsidRPr="00937A49">
        <w:rPr>
          <w:rFonts w:asciiTheme="minorHAnsi" w:eastAsia="Calibri" w:hAnsiTheme="minorHAnsi" w:cstheme="minorHAnsi"/>
          <w:sz w:val="22"/>
          <w:szCs w:val="22"/>
        </w:rPr>
        <w:t xml:space="preserve"> 100 euro</w:t>
      </w:r>
      <w:r w:rsidR="00B80F46" w:rsidRPr="00937A49">
        <w:rPr>
          <w:rFonts w:asciiTheme="minorHAnsi" w:eastAsia="Calibri" w:hAnsiTheme="minorHAnsi" w:cstheme="minorHAnsi"/>
          <w:sz w:val="22"/>
          <w:szCs w:val="22"/>
        </w:rPr>
        <w:t xml:space="preserve">, w </w:t>
      </w:r>
      <w:r w:rsidRPr="00937A49">
        <w:rPr>
          <w:rFonts w:asciiTheme="minorHAnsi" w:eastAsia="Calibri" w:hAnsiTheme="minorHAnsi" w:cstheme="minorHAnsi"/>
          <w:sz w:val="22"/>
          <w:szCs w:val="22"/>
        </w:rPr>
        <w:t>Czech</w:t>
      </w:r>
      <w:r w:rsidR="00B80F46" w:rsidRPr="00937A49">
        <w:rPr>
          <w:rFonts w:asciiTheme="minorHAnsi" w:eastAsia="Calibri" w:hAnsiTheme="minorHAnsi" w:cstheme="minorHAnsi"/>
          <w:sz w:val="22"/>
          <w:szCs w:val="22"/>
        </w:rPr>
        <w:t xml:space="preserve">ach to od </w:t>
      </w:r>
      <w:r w:rsidRPr="00937A49">
        <w:rPr>
          <w:rFonts w:asciiTheme="minorHAnsi" w:eastAsia="Calibri" w:hAnsiTheme="minorHAnsi" w:cstheme="minorHAnsi"/>
          <w:sz w:val="22"/>
          <w:szCs w:val="22"/>
        </w:rPr>
        <w:t xml:space="preserve"> 65</w:t>
      </w:r>
      <w:r w:rsidR="00B80F46" w:rsidRPr="00937A49">
        <w:rPr>
          <w:rFonts w:asciiTheme="minorHAnsi" w:eastAsia="Calibri" w:hAnsiTheme="minorHAnsi" w:cstheme="minorHAnsi"/>
          <w:sz w:val="22"/>
          <w:szCs w:val="22"/>
        </w:rPr>
        <w:t xml:space="preserve"> do </w:t>
      </w:r>
      <w:r w:rsidRPr="00937A49">
        <w:rPr>
          <w:rFonts w:asciiTheme="minorHAnsi" w:eastAsia="Calibri" w:hAnsiTheme="minorHAnsi" w:cstheme="minorHAnsi"/>
          <w:sz w:val="22"/>
          <w:szCs w:val="22"/>
        </w:rPr>
        <w:t>95 euro (wolny rynek i duża konkurencja)</w:t>
      </w:r>
      <w:r w:rsidR="00B80F46" w:rsidRPr="00937A49">
        <w:rPr>
          <w:rFonts w:asciiTheme="minorHAnsi" w:eastAsia="Calibri" w:hAnsiTheme="minorHAnsi" w:cstheme="minorHAnsi"/>
          <w:sz w:val="22"/>
          <w:szCs w:val="22"/>
        </w:rPr>
        <w:t>, a w</w:t>
      </w:r>
      <w:r w:rsidRPr="00937A49">
        <w:rPr>
          <w:rFonts w:asciiTheme="minorHAnsi" w:eastAsia="Calibri" w:hAnsiTheme="minorHAnsi" w:cstheme="minorHAnsi"/>
          <w:sz w:val="22"/>
          <w:szCs w:val="22"/>
        </w:rPr>
        <w:t xml:space="preserve"> Szwajcari</w:t>
      </w:r>
      <w:r w:rsidR="00B80F46" w:rsidRPr="00937A49">
        <w:rPr>
          <w:rFonts w:asciiTheme="minorHAnsi" w:eastAsia="Calibri" w:hAnsiTheme="minorHAnsi" w:cstheme="minorHAnsi"/>
          <w:sz w:val="22"/>
          <w:szCs w:val="22"/>
        </w:rPr>
        <w:t xml:space="preserve">i </w:t>
      </w:r>
      <w:r w:rsidRPr="00937A49">
        <w:rPr>
          <w:rFonts w:asciiTheme="minorHAnsi" w:eastAsia="Calibri" w:hAnsiTheme="minorHAnsi" w:cstheme="minorHAnsi"/>
          <w:sz w:val="22"/>
          <w:szCs w:val="22"/>
        </w:rPr>
        <w:t>100</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150 CHF (przy czym pierwszy przegląd jest wymagany po 5 latach, następny po 3 latach, kolejne co 2 lata, a</w:t>
      </w:r>
      <w:r w:rsidR="005713AB"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jego koszt zróżnicowany w zależności od kantonu)</w:t>
      </w:r>
      <w:r w:rsidR="00B80F46" w:rsidRPr="00937A49">
        <w:rPr>
          <w:rFonts w:asciiTheme="minorHAnsi" w:eastAsia="Calibri" w:hAnsiTheme="minorHAnsi" w:cstheme="minorHAnsi"/>
          <w:sz w:val="22"/>
          <w:szCs w:val="22"/>
        </w:rPr>
        <w:t>, w</w:t>
      </w:r>
      <w:r w:rsidRPr="00937A49">
        <w:rPr>
          <w:rFonts w:asciiTheme="minorHAnsi" w:eastAsia="Calibri" w:hAnsiTheme="minorHAnsi" w:cstheme="minorHAnsi"/>
          <w:sz w:val="22"/>
          <w:szCs w:val="22"/>
        </w:rPr>
        <w:t xml:space="preserve"> Finlandi</w:t>
      </w:r>
      <w:r w:rsidR="00B80F46" w:rsidRPr="00937A49">
        <w:rPr>
          <w:rFonts w:asciiTheme="minorHAnsi" w:eastAsia="Calibri" w:hAnsiTheme="minorHAnsi" w:cstheme="minorHAnsi"/>
          <w:sz w:val="22"/>
          <w:szCs w:val="22"/>
        </w:rPr>
        <w:t>i</w:t>
      </w:r>
      <w:r w:rsidRPr="00937A49">
        <w:rPr>
          <w:rFonts w:asciiTheme="minorHAnsi" w:eastAsia="Calibri" w:hAnsiTheme="minorHAnsi" w:cstheme="minorHAnsi"/>
          <w:sz w:val="22"/>
          <w:szCs w:val="22"/>
        </w:rPr>
        <w:t xml:space="preserve"> 50 euro (plus obligatoryjna analiza spalin 17</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w:t>
      </w:r>
      <w:r w:rsidR="00B80F46"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20 euro, tj. razem ok. 70 euro, przy czym pierwszy przegląd po 3 latach, następne co roku)</w:t>
      </w:r>
      <w:r w:rsidR="00B80F46" w:rsidRPr="00937A49">
        <w:rPr>
          <w:rFonts w:asciiTheme="minorHAnsi" w:eastAsia="Calibri" w:hAnsiTheme="minorHAnsi" w:cstheme="minorHAnsi"/>
          <w:sz w:val="22"/>
          <w:szCs w:val="22"/>
        </w:rPr>
        <w:t xml:space="preserve">, na </w:t>
      </w:r>
      <w:r w:rsidRPr="00937A49">
        <w:rPr>
          <w:rFonts w:asciiTheme="minorHAnsi" w:eastAsia="Calibri" w:hAnsiTheme="minorHAnsi" w:cstheme="minorHAnsi"/>
          <w:sz w:val="22"/>
          <w:szCs w:val="22"/>
        </w:rPr>
        <w:t xml:space="preserve"> Łotw</w:t>
      </w:r>
      <w:r w:rsidR="00B80F46" w:rsidRPr="00937A49">
        <w:rPr>
          <w:rFonts w:asciiTheme="minorHAnsi" w:eastAsia="Calibri" w:hAnsiTheme="minorHAnsi" w:cstheme="minorHAnsi"/>
          <w:sz w:val="22"/>
          <w:szCs w:val="22"/>
        </w:rPr>
        <w:t>ie</w:t>
      </w:r>
      <w:r w:rsidRPr="00937A49">
        <w:rPr>
          <w:rFonts w:asciiTheme="minorHAnsi" w:eastAsia="Calibri" w:hAnsiTheme="minorHAnsi" w:cstheme="minorHAnsi"/>
          <w:sz w:val="22"/>
          <w:szCs w:val="22"/>
        </w:rPr>
        <w:t xml:space="preserve"> 45 euro</w:t>
      </w:r>
      <w:r w:rsidR="00B80F46" w:rsidRPr="00937A49">
        <w:rPr>
          <w:rFonts w:asciiTheme="minorHAnsi" w:eastAsia="Calibri" w:hAnsiTheme="minorHAnsi" w:cstheme="minorHAnsi"/>
          <w:sz w:val="22"/>
          <w:szCs w:val="22"/>
        </w:rPr>
        <w:t>, a w</w:t>
      </w:r>
      <w:r w:rsidRPr="00937A49">
        <w:rPr>
          <w:rFonts w:asciiTheme="minorHAnsi" w:eastAsia="Calibri" w:hAnsiTheme="minorHAnsi" w:cstheme="minorHAnsi"/>
          <w:sz w:val="22"/>
          <w:szCs w:val="22"/>
        </w:rPr>
        <w:t xml:space="preserve"> Szwecj</w:t>
      </w:r>
      <w:r w:rsidR="00B80F46" w:rsidRPr="00937A49">
        <w:rPr>
          <w:rFonts w:asciiTheme="minorHAnsi" w:eastAsia="Calibri" w:hAnsiTheme="minorHAnsi" w:cstheme="minorHAnsi"/>
          <w:sz w:val="22"/>
          <w:szCs w:val="22"/>
        </w:rPr>
        <w:t>i</w:t>
      </w:r>
      <w:r w:rsidRPr="00937A49">
        <w:rPr>
          <w:rFonts w:asciiTheme="minorHAnsi" w:eastAsia="Calibri" w:hAnsiTheme="minorHAnsi" w:cstheme="minorHAnsi"/>
          <w:sz w:val="22"/>
          <w:szCs w:val="22"/>
        </w:rPr>
        <w:t xml:space="preserve"> 43 euro. </w:t>
      </w:r>
    </w:p>
    <w:p w14:paraId="406024B8" w14:textId="77777777" w:rsidR="00943E78" w:rsidRPr="00937A49" w:rsidRDefault="00943E78" w:rsidP="00943E78">
      <w:pPr>
        <w:jc w:val="both"/>
        <w:rPr>
          <w:rFonts w:asciiTheme="minorHAnsi" w:eastAsia="Calibri" w:hAnsiTheme="minorHAnsi" w:cstheme="minorHAnsi"/>
          <w:color w:val="1F497D" w:themeColor="text2"/>
          <w:sz w:val="22"/>
          <w:szCs w:val="22"/>
        </w:rPr>
      </w:pPr>
    </w:p>
    <w:p w14:paraId="190C8A73" w14:textId="0E968B06" w:rsidR="00A97E45" w:rsidRPr="00937A49" w:rsidRDefault="00935465" w:rsidP="00943E78">
      <w:pPr>
        <w:jc w:val="both"/>
        <w:rPr>
          <w:rFonts w:asciiTheme="minorHAnsi" w:eastAsia="Calibri" w:hAnsiTheme="minorHAnsi" w:cstheme="minorHAnsi"/>
          <w:color w:val="1F497D" w:themeColor="text2"/>
          <w:sz w:val="22"/>
          <w:szCs w:val="22"/>
        </w:rPr>
      </w:pPr>
      <w:r w:rsidRPr="00937A49">
        <w:rPr>
          <w:rFonts w:asciiTheme="minorHAnsi" w:eastAsia="Calibri" w:hAnsiTheme="minorHAnsi" w:cstheme="minorHAnsi"/>
          <w:color w:val="1F497D" w:themeColor="text2"/>
          <w:sz w:val="22"/>
          <w:szCs w:val="22"/>
        </w:rPr>
        <w:t>Wnioski</w:t>
      </w:r>
    </w:p>
    <w:p w14:paraId="5B1C892D" w14:textId="77777777" w:rsidR="00943E78" w:rsidRPr="00937A49" w:rsidRDefault="00943E78" w:rsidP="00943E78">
      <w:pPr>
        <w:jc w:val="both"/>
        <w:rPr>
          <w:rFonts w:asciiTheme="minorHAnsi" w:eastAsia="Calibri" w:hAnsiTheme="minorHAnsi" w:cstheme="minorHAnsi"/>
          <w:sz w:val="22"/>
          <w:szCs w:val="22"/>
        </w:rPr>
      </w:pPr>
    </w:p>
    <w:p w14:paraId="112813E1" w14:textId="69B68ABF"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Koszty utrzymania stacji kontroli pojazdów w Polsce rosły w latach 2020-2024 głównie </w:t>
      </w:r>
      <w:r w:rsidR="002C61B0" w:rsidRPr="00937A49">
        <w:rPr>
          <w:rFonts w:asciiTheme="minorHAnsi" w:eastAsia="Calibri" w:hAnsiTheme="minorHAnsi" w:cstheme="minorHAnsi"/>
          <w:sz w:val="22"/>
          <w:szCs w:val="22"/>
        </w:rPr>
        <w:t xml:space="preserve">z </w:t>
      </w:r>
      <w:r w:rsidRPr="00937A49">
        <w:rPr>
          <w:rFonts w:asciiTheme="minorHAnsi" w:eastAsia="Calibri" w:hAnsiTheme="minorHAnsi" w:cstheme="minorHAnsi"/>
          <w:sz w:val="22"/>
          <w:szCs w:val="22"/>
        </w:rPr>
        <w:t>powodu wzrostu płac</w:t>
      </w:r>
      <w:r w:rsidR="002C61B0" w:rsidRPr="00937A49">
        <w:rPr>
          <w:rFonts w:asciiTheme="minorHAnsi" w:eastAsia="Calibri" w:hAnsiTheme="minorHAnsi" w:cstheme="minorHAnsi"/>
          <w:sz w:val="22"/>
          <w:szCs w:val="22"/>
        </w:rPr>
        <w:t xml:space="preserve"> wynikających z konieczności utrzymania zatrudnienia</w:t>
      </w:r>
      <w:r w:rsidRPr="00937A49">
        <w:rPr>
          <w:rFonts w:asciiTheme="minorHAnsi" w:eastAsia="Calibri" w:hAnsiTheme="minorHAnsi" w:cstheme="minorHAnsi"/>
          <w:sz w:val="22"/>
          <w:szCs w:val="22"/>
        </w:rPr>
        <w:t>, inflacji, energii, kosztów wynajmu i utrzymania infrastruktury wraz z aparaturą oraz opłat administracyjnych</w:t>
      </w:r>
      <w:r w:rsidR="00935465" w:rsidRPr="00937A49">
        <w:rPr>
          <w:rFonts w:asciiTheme="minorHAnsi" w:eastAsia="Calibri" w:hAnsiTheme="minorHAnsi" w:cstheme="minorHAnsi"/>
          <w:sz w:val="22"/>
          <w:szCs w:val="22"/>
        </w:rPr>
        <w:t>,</w:t>
      </w:r>
      <w:r w:rsidRPr="00937A49">
        <w:rPr>
          <w:rFonts w:asciiTheme="minorHAnsi" w:eastAsia="Calibri" w:hAnsiTheme="minorHAnsi" w:cstheme="minorHAnsi"/>
          <w:sz w:val="22"/>
          <w:szCs w:val="22"/>
        </w:rPr>
        <w:t xml:space="preserve"> w tym podatków. Mimo to w Polsce opłata za badanie techniczne samochodu osobowego nie zmieniła się od 2004 r., co rzutuje negatywnie na kondycję sektora badań technicznych pojazdów. W efekcie przedsiębiorcy nie mogą inwestować w</w:t>
      </w:r>
      <w:r w:rsidR="00137E75"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wymianę wyeksploatowanych urządzeń oraz nowoczesne technologie, co negatywnie wpływa na jakość badań i</w:t>
      </w:r>
      <w:r w:rsidR="005713AB"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bezpieczeństwo na drogach. W związku z powyższym, autorzy opracowania zwracają uwagę na</w:t>
      </w:r>
      <w:r w:rsidR="005713AB"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następujące problemy:</w:t>
      </w:r>
    </w:p>
    <w:p w14:paraId="2CDB7A44" w14:textId="77777777" w:rsidR="00943E78" w:rsidRPr="00937A49" w:rsidRDefault="00943E78" w:rsidP="00943E78">
      <w:pPr>
        <w:jc w:val="both"/>
        <w:rPr>
          <w:rFonts w:asciiTheme="minorHAnsi" w:eastAsia="Calibri" w:hAnsiTheme="minorHAnsi" w:cstheme="minorHAnsi"/>
          <w:sz w:val="22"/>
          <w:szCs w:val="22"/>
        </w:rPr>
      </w:pPr>
    </w:p>
    <w:bookmarkEnd w:id="0"/>
    <w:p w14:paraId="498F57C2" w14:textId="3D0F7D11" w:rsidR="00A97E45" w:rsidRPr="00937A49" w:rsidRDefault="00A97E45" w:rsidP="00943E78">
      <w:pPr>
        <w:pStyle w:val="Akapitzlist"/>
        <w:numPr>
          <w:ilvl w:val="0"/>
          <w:numId w:val="42"/>
        </w:numPr>
        <w:ind w:left="714" w:hanging="357"/>
        <w:contextualSpacing w:val="0"/>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Brak środków na </w:t>
      </w:r>
      <w:r w:rsidR="002C61B0" w:rsidRPr="00937A49">
        <w:rPr>
          <w:rFonts w:asciiTheme="minorHAnsi" w:eastAsia="Calibri" w:hAnsiTheme="minorHAnsi" w:cstheme="minorHAnsi"/>
          <w:sz w:val="22"/>
          <w:szCs w:val="22"/>
        </w:rPr>
        <w:t xml:space="preserve">regulacje </w:t>
      </w:r>
      <w:r w:rsidRPr="00937A49">
        <w:rPr>
          <w:rFonts w:asciiTheme="minorHAnsi" w:eastAsia="Calibri" w:hAnsiTheme="minorHAnsi" w:cstheme="minorHAnsi"/>
          <w:sz w:val="22"/>
          <w:szCs w:val="22"/>
        </w:rPr>
        <w:t>wynagrodzeń diagnostów powoduje odpływ wykwalifikowanych pracowników, co może skutkować obniżeniem jakości badań technicznych.</w:t>
      </w:r>
    </w:p>
    <w:p w14:paraId="1B269016" w14:textId="77777777" w:rsidR="00A97E45" w:rsidRPr="00937A49" w:rsidRDefault="00A97E45" w:rsidP="00943E78">
      <w:pPr>
        <w:pStyle w:val="Akapitzlist"/>
        <w:numPr>
          <w:ilvl w:val="0"/>
          <w:numId w:val="42"/>
        </w:numPr>
        <w:ind w:left="714" w:hanging="357"/>
        <w:contextualSpacing w:val="0"/>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Wysokie koszty legalizacji i eksploatacji urządzeń sprawiają, że przedsiębiorcy nie są w stanie wymieniać wyeksploatowanego sprzętu, co wpływa na efektywność wykonywanych badań.</w:t>
      </w:r>
    </w:p>
    <w:p w14:paraId="317250F8" w14:textId="189E62A6" w:rsidR="00A97E45" w:rsidRPr="00937A49" w:rsidRDefault="00A97E45" w:rsidP="00943E78">
      <w:pPr>
        <w:pStyle w:val="Akapitzlist"/>
        <w:numPr>
          <w:ilvl w:val="0"/>
          <w:numId w:val="42"/>
        </w:numPr>
        <w:ind w:left="714" w:hanging="357"/>
        <w:contextualSpacing w:val="0"/>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Pogarszająca się kondycja polskich firm związanych z branżą SKP – wiele podmiotów działających na rynku sprzedaży i wyposażenia SKP boryka się z problemami finansowymi. </w:t>
      </w:r>
    </w:p>
    <w:p w14:paraId="78BBC8C3" w14:textId="77777777" w:rsidR="00137E75" w:rsidRPr="00937A49" w:rsidRDefault="00137E75" w:rsidP="00943E78">
      <w:pPr>
        <w:jc w:val="both"/>
        <w:rPr>
          <w:rFonts w:asciiTheme="minorHAnsi" w:eastAsia="Calibri" w:hAnsiTheme="minorHAnsi" w:cstheme="minorHAnsi"/>
          <w:sz w:val="22"/>
          <w:szCs w:val="22"/>
        </w:rPr>
      </w:pPr>
    </w:p>
    <w:p w14:paraId="7D5CCCFF" w14:textId="19A8B887" w:rsidR="00A97E45" w:rsidRPr="00937A49" w:rsidRDefault="00A45313"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Należy podkreślić, że w</w:t>
      </w:r>
      <w:r w:rsidR="00A97E45" w:rsidRPr="00937A49">
        <w:rPr>
          <w:rFonts w:asciiTheme="minorHAnsi" w:eastAsia="Calibri" w:hAnsiTheme="minorHAnsi" w:cstheme="minorHAnsi"/>
          <w:sz w:val="22"/>
          <w:szCs w:val="22"/>
        </w:rPr>
        <w:t>skazane problemy powodują regres na rynku SKP i zmniejszanie w okresie 2023-2024 liczby podmiotów wykonujących badania techniczne [średnioroczny spadek liczby SKP (CAGR) ≈ 0,69</w:t>
      </w:r>
      <w:r w:rsidR="003E3FC6" w:rsidRPr="00937A49">
        <w:rPr>
          <w:rFonts w:asciiTheme="minorHAnsi" w:eastAsia="Calibri" w:hAnsiTheme="minorHAnsi" w:cstheme="minorHAnsi"/>
          <w:sz w:val="22"/>
          <w:szCs w:val="22"/>
        </w:rPr>
        <w:t xml:space="preserve"> proc.</w:t>
      </w:r>
      <w:r w:rsidR="00A97E45" w:rsidRPr="00937A49">
        <w:rPr>
          <w:rFonts w:asciiTheme="minorHAnsi" w:eastAsia="Calibri" w:hAnsiTheme="minorHAnsi" w:cstheme="minorHAnsi"/>
          <w:sz w:val="22"/>
          <w:szCs w:val="22"/>
        </w:rPr>
        <w:t>], stagnację w okresie 2017-2023 [średnioroczny wzrost liczby SKP (CAGR) ≈ 2,08</w:t>
      </w:r>
      <w:r w:rsidR="003E3FC6" w:rsidRPr="00937A49">
        <w:rPr>
          <w:rFonts w:asciiTheme="minorHAnsi" w:eastAsia="Calibri" w:hAnsiTheme="minorHAnsi" w:cstheme="minorHAnsi"/>
          <w:sz w:val="22"/>
          <w:szCs w:val="22"/>
        </w:rPr>
        <w:t xml:space="preserve"> proc.</w:t>
      </w:r>
      <w:r w:rsidR="00A97E45" w:rsidRPr="00937A49">
        <w:rPr>
          <w:rFonts w:asciiTheme="minorHAnsi" w:eastAsia="Calibri" w:hAnsiTheme="minorHAnsi" w:cstheme="minorHAnsi"/>
          <w:sz w:val="22"/>
          <w:szCs w:val="22"/>
        </w:rPr>
        <w:t xml:space="preserve"> rocznie], podczas gdy w latach 2004-2017 trend był odwrotny [średnioroczny wzrost liczby SKP(CAGR) ≈ 44,6]. </w:t>
      </w:r>
      <w:r w:rsidR="00D5472E" w:rsidRPr="00937A49">
        <w:rPr>
          <w:rFonts w:asciiTheme="minorHAnsi" w:eastAsia="Calibri" w:hAnsiTheme="minorHAnsi" w:cstheme="minorHAnsi"/>
          <w:sz w:val="22"/>
          <w:szCs w:val="22"/>
        </w:rPr>
        <w:t>Ten ostatni</w:t>
      </w:r>
      <w:r w:rsidR="00A97E45" w:rsidRPr="00937A49">
        <w:rPr>
          <w:rFonts w:asciiTheme="minorHAnsi" w:eastAsia="Calibri" w:hAnsiTheme="minorHAnsi" w:cstheme="minorHAnsi"/>
          <w:sz w:val="22"/>
          <w:szCs w:val="22"/>
        </w:rPr>
        <w:t xml:space="preserve"> wzrost pokazuje, jak gwałtownie rozwinęła się sieć SKP w Polsce po wejściu do UE w odpowiedzi na dostosowanie do europejskiego </w:t>
      </w:r>
      <w:r w:rsidR="00A322C9" w:rsidRPr="00937A49">
        <w:rPr>
          <w:rFonts w:asciiTheme="minorHAnsi" w:eastAsia="Calibri" w:hAnsiTheme="minorHAnsi" w:cstheme="minorHAnsi"/>
          <w:sz w:val="22"/>
          <w:szCs w:val="22"/>
        </w:rPr>
        <w:t>porządku prawnego</w:t>
      </w:r>
      <w:r w:rsidR="00A97E45" w:rsidRPr="00937A49">
        <w:rPr>
          <w:rFonts w:asciiTheme="minorHAnsi" w:eastAsia="Calibri" w:hAnsiTheme="minorHAnsi" w:cstheme="minorHAnsi"/>
          <w:sz w:val="22"/>
          <w:szCs w:val="22"/>
        </w:rPr>
        <w:t xml:space="preserve"> w zakresie wymogów i jakości prowadzenia badań technicznych pojazdów. </w:t>
      </w:r>
    </w:p>
    <w:p w14:paraId="0AAE8B08" w14:textId="77777777" w:rsidR="00943E78" w:rsidRPr="00937A49" w:rsidRDefault="00943E78" w:rsidP="00943E78">
      <w:pPr>
        <w:jc w:val="both"/>
        <w:rPr>
          <w:rFonts w:asciiTheme="minorHAnsi" w:eastAsia="Calibri" w:hAnsiTheme="minorHAnsi" w:cstheme="minorHAnsi"/>
          <w:sz w:val="22"/>
          <w:szCs w:val="22"/>
        </w:rPr>
      </w:pPr>
    </w:p>
    <w:p w14:paraId="7B88ACF1" w14:textId="3C224B46" w:rsidR="00A97E45"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Powiększająca się strata w sektorze usług SKP (rośnie liczba badań technicznych, maleje liczba stacji, zwiększa się średnioroczny koszt SKP) prowadzi do problemów finansowych, ograniczenia inwestycji w</w:t>
      </w:r>
      <w:r w:rsidR="00137E75" w:rsidRPr="00937A49">
        <w:rPr>
          <w:rFonts w:asciiTheme="minorHAnsi" w:eastAsia="Calibri" w:hAnsiTheme="minorHAnsi" w:cstheme="minorHAnsi"/>
          <w:sz w:val="22"/>
          <w:szCs w:val="22"/>
        </w:rPr>
        <w:t> </w:t>
      </w:r>
      <w:r w:rsidRPr="00937A49">
        <w:rPr>
          <w:rFonts w:asciiTheme="minorHAnsi" w:eastAsia="Calibri" w:hAnsiTheme="minorHAnsi" w:cstheme="minorHAnsi"/>
          <w:sz w:val="22"/>
          <w:szCs w:val="22"/>
        </w:rPr>
        <w:t>nowe technologie diagnostyczne, wycofywania się przedsiębiorców z prowadzenia tej działalności. Kondycja finansowa SKP wymaga pilnych zmian w strukturze cen badań technicznych. Podwyższenie cen badań technicznych w Polsce mogłoby pozwolić na poprawę rentowności SKP i odwrócić trend selekcji negatywnej odpływu od zawodu wykształconych dobrych fachowców.</w:t>
      </w:r>
    </w:p>
    <w:p w14:paraId="77126E72" w14:textId="77777777" w:rsidR="00943E78" w:rsidRPr="00937A49" w:rsidRDefault="00943E78" w:rsidP="00943E78">
      <w:pPr>
        <w:jc w:val="both"/>
        <w:rPr>
          <w:rFonts w:asciiTheme="minorHAnsi" w:eastAsia="Calibri" w:hAnsiTheme="minorHAnsi" w:cstheme="minorHAnsi"/>
          <w:sz w:val="22"/>
          <w:szCs w:val="22"/>
        </w:rPr>
      </w:pPr>
    </w:p>
    <w:p w14:paraId="3A94C1CC" w14:textId="76DC4496" w:rsidR="0074187C" w:rsidRPr="00937A49" w:rsidRDefault="00A97E45" w:rsidP="00943E78">
      <w:pPr>
        <w:jc w:val="both"/>
        <w:rPr>
          <w:rFonts w:asciiTheme="minorHAnsi" w:eastAsia="Calibri" w:hAnsiTheme="minorHAnsi" w:cstheme="minorHAnsi"/>
          <w:sz w:val="22"/>
          <w:szCs w:val="22"/>
        </w:rPr>
      </w:pPr>
      <w:r w:rsidRPr="00937A49">
        <w:rPr>
          <w:rFonts w:asciiTheme="minorHAnsi" w:eastAsia="Calibri" w:hAnsiTheme="minorHAnsi" w:cstheme="minorHAnsi"/>
          <w:sz w:val="22"/>
          <w:szCs w:val="22"/>
        </w:rPr>
        <w:t xml:space="preserve">W związku z </w:t>
      </w:r>
      <w:r w:rsidR="005713AB" w:rsidRPr="00937A49">
        <w:rPr>
          <w:rFonts w:asciiTheme="minorHAnsi" w:eastAsia="Calibri" w:hAnsiTheme="minorHAnsi" w:cstheme="minorHAnsi"/>
          <w:sz w:val="22"/>
          <w:szCs w:val="22"/>
        </w:rPr>
        <w:t xml:space="preserve">tym, </w:t>
      </w:r>
      <w:r w:rsidR="005713AB" w:rsidRPr="00937A49">
        <w:rPr>
          <w:rFonts w:asciiTheme="minorHAnsi" w:hAnsiTheme="minorHAnsi" w:cstheme="minorHAnsi"/>
          <w:sz w:val="22"/>
          <w:szCs w:val="22"/>
        </w:rPr>
        <w:t>po przeprowadzonej analizie, zarekomendowaliśmy</w:t>
      </w:r>
      <w:r w:rsidR="005713AB" w:rsidRPr="00937A49">
        <w:rPr>
          <w:rFonts w:asciiTheme="minorHAnsi" w:eastAsia="Calibri" w:hAnsiTheme="minorHAnsi" w:cstheme="minorHAnsi"/>
          <w:sz w:val="22"/>
          <w:szCs w:val="22"/>
        </w:rPr>
        <w:t xml:space="preserve"> wzrost </w:t>
      </w:r>
      <w:r w:rsidRPr="00937A49">
        <w:rPr>
          <w:rFonts w:asciiTheme="minorHAnsi" w:eastAsia="Calibri" w:hAnsiTheme="minorHAnsi" w:cstheme="minorHAnsi"/>
          <w:sz w:val="22"/>
          <w:szCs w:val="22"/>
        </w:rPr>
        <w:t xml:space="preserve">opłat za badania techniczne pojazdów na podstawie rzeczywistych kosztów prowadzenia SKP, uwzględniając inflację oraz wzrost minimalnej płac. Dostosowanie okresu badań technicznych do standardów unijnych pozwoliłoby ograniczyć obciążenie finansowe właścicieli pojazdów, działać powyżej progu rentowności, a w dalszej perspektywie aktywizować działalność diagnostyczną i </w:t>
      </w:r>
      <w:r w:rsidR="00937A49" w:rsidRPr="00937A49">
        <w:rPr>
          <w:rFonts w:asciiTheme="minorHAnsi" w:eastAsia="Calibri" w:hAnsiTheme="minorHAnsi" w:cstheme="minorHAnsi"/>
          <w:sz w:val="22"/>
          <w:szCs w:val="22"/>
        </w:rPr>
        <w:t>około diagnostyczną</w:t>
      </w:r>
      <w:r w:rsidRPr="00937A49">
        <w:rPr>
          <w:rFonts w:asciiTheme="minorHAnsi" w:eastAsia="Calibri" w:hAnsiTheme="minorHAnsi" w:cstheme="minorHAnsi"/>
          <w:sz w:val="22"/>
          <w:szCs w:val="22"/>
        </w:rPr>
        <w:t>, wpływając na poprawę kondycji finansowej SKP.</w:t>
      </w:r>
      <w:r w:rsidRPr="00937A49">
        <w:rPr>
          <w:rFonts w:asciiTheme="minorHAnsi" w:hAnsiTheme="minorHAnsi" w:cstheme="minorHAnsi"/>
          <w:sz w:val="22"/>
          <w:szCs w:val="22"/>
        </w:rPr>
        <w:t xml:space="preserve"> </w:t>
      </w:r>
      <w:r w:rsidRPr="00937A49">
        <w:rPr>
          <w:rFonts w:asciiTheme="minorHAnsi" w:eastAsia="Calibri" w:hAnsiTheme="minorHAnsi" w:cstheme="minorHAnsi"/>
          <w:sz w:val="22"/>
          <w:szCs w:val="22"/>
        </w:rPr>
        <w:t xml:space="preserve">Rekomendujemy również modernizację systemu nadzoru nad badaniami technicznymi </w:t>
      </w:r>
      <w:r w:rsidR="00D5472E" w:rsidRPr="00937A49">
        <w:rPr>
          <w:rFonts w:asciiTheme="minorHAnsi" w:eastAsia="Calibri" w:hAnsiTheme="minorHAnsi" w:cstheme="minorHAnsi"/>
          <w:sz w:val="22"/>
          <w:szCs w:val="22"/>
        </w:rPr>
        <w:t xml:space="preserve">– </w:t>
      </w:r>
      <w:r w:rsidRPr="00937A49">
        <w:rPr>
          <w:rFonts w:asciiTheme="minorHAnsi" w:eastAsia="Calibri" w:hAnsiTheme="minorHAnsi" w:cstheme="minorHAnsi"/>
          <w:sz w:val="22"/>
          <w:szCs w:val="22"/>
        </w:rPr>
        <w:t xml:space="preserve">wdrożenie rozwiązań poprawiających jakość i efektywność kontroli technicznej pojazdów. </w:t>
      </w:r>
    </w:p>
    <w:p w14:paraId="7073C62C" w14:textId="044667B9" w:rsidR="00A83DE6" w:rsidRPr="00937A49" w:rsidRDefault="00A83DE6" w:rsidP="00943E78">
      <w:pPr>
        <w:rPr>
          <w:rFonts w:asciiTheme="minorHAnsi" w:hAnsiTheme="minorHAnsi" w:cstheme="minorHAnsi"/>
          <w:sz w:val="22"/>
          <w:szCs w:val="22"/>
        </w:rPr>
      </w:pPr>
    </w:p>
    <w:sectPr w:rsidR="00A83DE6" w:rsidRPr="00937A49" w:rsidSect="00137E75">
      <w:headerReference w:type="even" r:id="rId8"/>
      <w:headerReference w:type="default" r:id="rId9"/>
      <w:footerReference w:type="default" r:id="rId10"/>
      <w:headerReference w:type="first" r:id="rId11"/>
      <w:type w:val="continuous"/>
      <w:pgSz w:w="11906" w:h="16838"/>
      <w:pgMar w:top="1276" w:right="566" w:bottom="2127" w:left="993" w:header="367" w:footer="231" w:gutter="0"/>
      <w:cols w:space="708" w:equalWidth="0">
        <w:col w:w="9498"/>
      </w:cols>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DA01E" w14:textId="77777777" w:rsidR="00E53138" w:rsidRDefault="00E53138">
      <w:r>
        <w:separator/>
      </w:r>
    </w:p>
  </w:endnote>
  <w:endnote w:type="continuationSeparator" w:id="0">
    <w:p w14:paraId="284F4953" w14:textId="77777777" w:rsidR="00E53138" w:rsidRDefault="00E53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Futura CE Medium">
    <w:panose1 w:val="00000000000000000000"/>
    <w:charset w:val="00"/>
    <w:family w:val="swiss"/>
    <w:notTrueType/>
    <w:pitch w:val="default"/>
    <w:sig w:usb0="00000003" w:usb1="00000000" w:usb2="00000000" w:usb3="00000000" w:csb0="00000001" w:csb1="00000000"/>
  </w:font>
  <w:font w:name="Myriad Pro Light">
    <w:altName w:val="Arial"/>
    <w:panose1 w:val="00000000000000000000"/>
    <w:charset w:val="EE"/>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1821" w14:textId="77777777" w:rsidR="00341F8C" w:rsidRPr="00504A36" w:rsidRDefault="00341F8C" w:rsidP="00341F8C">
    <w:pPr>
      <w:pStyle w:val="Stopka"/>
      <w:rPr>
        <w:rFonts w:ascii="Verdana" w:hAnsi="Verdana"/>
        <w:bCs/>
        <w:sz w:val="12"/>
        <w:szCs w:val="12"/>
      </w:rPr>
    </w:pPr>
    <w:r w:rsidRPr="00504A36">
      <w:rPr>
        <w:rFonts w:ascii="Verdana" w:hAnsi="Verdana"/>
        <w:bCs/>
        <w:sz w:val="12"/>
        <w:szCs w:val="12"/>
      </w:rPr>
      <w:t>Kontakt:</w:t>
    </w:r>
  </w:p>
  <w:p w14:paraId="2F229D3B" w14:textId="77777777" w:rsidR="00341F8C" w:rsidRPr="00504A36" w:rsidRDefault="00341F8C" w:rsidP="00341F8C">
    <w:pPr>
      <w:pStyle w:val="Stopka"/>
      <w:rPr>
        <w:rFonts w:ascii="Verdana" w:hAnsi="Verdana"/>
        <w:b/>
        <w:bCs/>
        <w:sz w:val="12"/>
        <w:szCs w:val="12"/>
      </w:rPr>
    </w:pPr>
    <w:r w:rsidRPr="00504A36">
      <w:rPr>
        <w:rFonts w:ascii="Verdana" w:hAnsi="Verdana"/>
        <w:b/>
        <w:bCs/>
        <w:sz w:val="12"/>
        <w:szCs w:val="12"/>
      </w:rPr>
      <w:t>Mikołaj Krupiński</w:t>
    </w:r>
  </w:p>
  <w:p w14:paraId="5DF6A1D8" w14:textId="77777777" w:rsidR="00341F8C" w:rsidRPr="00504A36" w:rsidRDefault="00341F8C" w:rsidP="00341F8C">
    <w:pPr>
      <w:pStyle w:val="Stopka"/>
      <w:rPr>
        <w:rFonts w:ascii="Verdana" w:hAnsi="Verdana"/>
        <w:b/>
        <w:bCs/>
        <w:sz w:val="12"/>
        <w:szCs w:val="12"/>
      </w:rPr>
    </w:pPr>
    <w:r w:rsidRPr="00504A36">
      <w:rPr>
        <w:rFonts w:ascii="Verdana" w:hAnsi="Verdana"/>
        <w:b/>
        <w:bCs/>
        <w:sz w:val="12"/>
        <w:szCs w:val="12"/>
      </w:rPr>
      <w:t>Rzecznik prasowy</w:t>
    </w:r>
  </w:p>
  <w:p w14:paraId="59ABCB43" w14:textId="77777777" w:rsidR="00341F8C" w:rsidRPr="00504A36" w:rsidRDefault="00341F8C" w:rsidP="00341F8C">
    <w:pPr>
      <w:pStyle w:val="Stopka"/>
      <w:rPr>
        <w:rFonts w:ascii="Verdana" w:hAnsi="Verdana"/>
        <w:bCs/>
        <w:color w:val="000000"/>
        <w:sz w:val="12"/>
        <w:szCs w:val="12"/>
      </w:rPr>
    </w:pPr>
    <w:r w:rsidRPr="00504A36">
      <w:rPr>
        <w:rFonts w:ascii="Verdana" w:hAnsi="Verdana"/>
        <w:bCs/>
        <w:color w:val="000000"/>
        <w:sz w:val="12"/>
        <w:szCs w:val="12"/>
      </w:rPr>
      <w:t>Instytut Transportu Samochodowego</w:t>
    </w:r>
  </w:p>
  <w:p w14:paraId="2EA1A37B" w14:textId="77777777" w:rsidR="00133F30" w:rsidRPr="00504A36" w:rsidRDefault="00341F8C" w:rsidP="00341F8C">
    <w:pPr>
      <w:pStyle w:val="Stopka"/>
      <w:rPr>
        <w:rFonts w:ascii="Verdana" w:hAnsi="Verdana"/>
        <w:bCs/>
        <w:color w:val="000000"/>
        <w:sz w:val="12"/>
        <w:szCs w:val="12"/>
      </w:rPr>
    </w:pPr>
    <w:r w:rsidRPr="00504A36">
      <w:rPr>
        <w:rFonts w:ascii="Verdana" w:hAnsi="Verdana"/>
        <w:bCs/>
        <w:color w:val="000000"/>
        <w:sz w:val="12"/>
        <w:szCs w:val="12"/>
      </w:rPr>
      <w:t>+48 22 43 85</w:t>
    </w:r>
    <w:r w:rsidR="00133F30" w:rsidRPr="00504A36">
      <w:rPr>
        <w:rFonts w:ascii="Verdana" w:hAnsi="Verdana"/>
        <w:bCs/>
        <w:color w:val="000000"/>
        <w:sz w:val="12"/>
        <w:szCs w:val="12"/>
      </w:rPr>
      <w:t> </w:t>
    </w:r>
    <w:r w:rsidRPr="00504A36">
      <w:rPr>
        <w:rFonts w:ascii="Verdana" w:hAnsi="Verdana"/>
        <w:bCs/>
        <w:color w:val="000000"/>
        <w:sz w:val="12"/>
        <w:szCs w:val="12"/>
      </w:rPr>
      <w:t>538</w:t>
    </w:r>
  </w:p>
  <w:p w14:paraId="0A096CDE" w14:textId="77777777" w:rsidR="00341F8C" w:rsidRPr="00504A36" w:rsidRDefault="00341F8C" w:rsidP="00341F8C">
    <w:pPr>
      <w:pStyle w:val="Stopka"/>
      <w:rPr>
        <w:rFonts w:ascii="Verdana" w:hAnsi="Verdana"/>
        <w:bCs/>
        <w:color w:val="000000"/>
        <w:sz w:val="12"/>
        <w:szCs w:val="12"/>
      </w:rPr>
    </w:pPr>
    <w:r w:rsidRPr="00504A36">
      <w:rPr>
        <w:rFonts w:ascii="Verdana" w:hAnsi="Verdana"/>
        <w:bCs/>
        <w:color w:val="000000"/>
        <w:sz w:val="12"/>
        <w:szCs w:val="12"/>
      </w:rPr>
      <w:t>+48 604 931 310</w:t>
    </w:r>
  </w:p>
  <w:p w14:paraId="26A2498E" w14:textId="77777777" w:rsidR="00341F8C" w:rsidRPr="00504A36" w:rsidRDefault="00E53138" w:rsidP="00341F8C">
    <w:pPr>
      <w:pStyle w:val="Stopka"/>
      <w:rPr>
        <w:rFonts w:ascii="Verdana" w:hAnsi="Verdana"/>
        <w:bCs/>
        <w:color w:val="000000"/>
        <w:sz w:val="12"/>
        <w:szCs w:val="12"/>
      </w:rPr>
    </w:pPr>
    <w:hyperlink r:id="rId1" w:history="1">
      <w:r w:rsidR="00341F8C" w:rsidRPr="00504A36">
        <w:rPr>
          <w:rStyle w:val="Hipercze"/>
          <w:rFonts w:ascii="Verdana" w:hAnsi="Verdana"/>
          <w:bCs/>
          <w:sz w:val="12"/>
          <w:szCs w:val="12"/>
        </w:rPr>
        <w:t>mikolaj.krupinski@its.waw.pl</w:t>
      </w:r>
    </w:hyperlink>
  </w:p>
  <w:p w14:paraId="3AEC9C4F" w14:textId="77777777" w:rsidR="00341F8C" w:rsidRDefault="00341F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8555B" w14:textId="77777777" w:rsidR="00E53138" w:rsidRDefault="00E53138">
      <w:r>
        <w:separator/>
      </w:r>
    </w:p>
  </w:footnote>
  <w:footnote w:type="continuationSeparator" w:id="0">
    <w:p w14:paraId="70703FEB" w14:textId="77777777" w:rsidR="00E53138" w:rsidRDefault="00E53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8C126" w14:textId="77777777" w:rsidR="00514B97" w:rsidRDefault="00E53138">
    <w:pPr>
      <w:pStyle w:val="Nagwek"/>
    </w:pPr>
    <w:r>
      <w:rPr>
        <w:noProof/>
        <w:lang w:eastAsia="pl-PL"/>
      </w:rPr>
      <w:pict w14:anchorId="51D5AB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alt="" style="position:absolute;margin-left:0;margin-top:0;width:501.5pt;height:200.6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B7E1" w14:textId="77777777" w:rsidR="00514B97" w:rsidRPr="00504A36" w:rsidRDefault="0032386E" w:rsidP="0032386E">
    <w:pPr>
      <w:pStyle w:val="Nagwek"/>
      <w:tabs>
        <w:tab w:val="clear" w:pos="4536"/>
        <w:tab w:val="clear" w:pos="9072"/>
        <w:tab w:val="center" w:pos="0"/>
        <w:tab w:val="right" w:pos="9464"/>
      </w:tabs>
      <w:ind w:right="600"/>
      <w:jc w:val="both"/>
      <w:rPr>
        <w:sz w:val="12"/>
        <w:szCs w:val="12"/>
      </w:rPr>
    </w:pPr>
    <w:r w:rsidRPr="00AD4399">
      <w:rPr>
        <w:noProof/>
        <w:lang w:eastAsia="pl-PL"/>
      </w:rPr>
      <w:drawing>
        <wp:anchor distT="0" distB="0" distL="114300" distR="114300" simplePos="0" relativeHeight="251659264" behindDoc="1" locked="0" layoutInCell="1" allowOverlap="1" wp14:anchorId="0D1DEDEF" wp14:editId="40E2EC28">
          <wp:simplePos x="0" y="0"/>
          <wp:positionH relativeFrom="column">
            <wp:posOffset>-173355</wp:posOffset>
          </wp:positionH>
          <wp:positionV relativeFrom="paragraph">
            <wp:posOffset>-114300</wp:posOffset>
          </wp:positionV>
          <wp:extent cx="1600200" cy="676275"/>
          <wp:effectExtent l="0" t="0" r="0" b="9525"/>
          <wp:wrapTight wrapText="bothSides">
            <wp:wrapPolygon edited="0">
              <wp:start x="0" y="0"/>
              <wp:lineTo x="0" y="21296"/>
              <wp:lineTo x="21343" y="21296"/>
              <wp:lineTo x="21343"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76275"/>
                  </a:xfrm>
                  <a:prstGeom prst="rect">
                    <a:avLst/>
                  </a:prstGeom>
                  <a:noFill/>
                  <a:ln>
                    <a:noFill/>
                  </a:ln>
                </pic:spPr>
              </pic:pic>
            </a:graphicData>
          </a:graphic>
        </wp:anchor>
      </w:drawing>
    </w:r>
    <w:r w:rsidR="00514B97" w:rsidRPr="00504A36">
      <w:rPr>
        <w:sz w:val="12"/>
        <w:szCs w:val="1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DA37" w14:textId="77777777" w:rsidR="00514B97" w:rsidRDefault="00E53138">
    <w:pPr>
      <w:pStyle w:val="Nagwek"/>
    </w:pPr>
    <w:r>
      <w:rPr>
        <w:noProof/>
        <w:lang w:eastAsia="pl-PL"/>
      </w:rPr>
      <w:pict w14:anchorId="65D40F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margin-left:0;margin-top:0;width:501.5pt;height:200.6pt;rotation:315;z-index:-25165926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46"/>
    <w:multiLevelType w:val="hybridMultilevel"/>
    <w:tmpl w:val="05D2893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0EF1242"/>
    <w:multiLevelType w:val="hybridMultilevel"/>
    <w:tmpl w:val="230AB796"/>
    <w:lvl w:ilvl="0" w:tplc="50A655E2">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647E15"/>
    <w:multiLevelType w:val="hybridMultilevel"/>
    <w:tmpl w:val="A3BE4552"/>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D323E9"/>
    <w:multiLevelType w:val="hybridMultilevel"/>
    <w:tmpl w:val="B554DCF2"/>
    <w:lvl w:ilvl="0" w:tplc="50A655E2">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737E28"/>
    <w:multiLevelType w:val="hybridMultilevel"/>
    <w:tmpl w:val="30DA8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0B4189"/>
    <w:multiLevelType w:val="hybridMultilevel"/>
    <w:tmpl w:val="B6823080"/>
    <w:lvl w:ilvl="0" w:tplc="E1CE1D36">
      <w:start w:val="1"/>
      <w:numFmt w:val="bullet"/>
      <w:lvlText w:val=""/>
      <w:lvlJc w:val="left"/>
      <w:pPr>
        <w:tabs>
          <w:tab w:val="num" w:pos="1180"/>
        </w:tabs>
        <w:ind w:left="1180" w:hanging="340"/>
      </w:pPr>
      <w:rPr>
        <w:rFonts w:ascii="Symbol" w:hAnsi="Symbol" w:hint="default"/>
        <w:color w:val="auto"/>
      </w:rPr>
    </w:lvl>
    <w:lvl w:ilvl="1" w:tplc="04150003" w:tentative="1">
      <w:start w:val="1"/>
      <w:numFmt w:val="bullet"/>
      <w:lvlText w:val="o"/>
      <w:lvlJc w:val="left"/>
      <w:pPr>
        <w:tabs>
          <w:tab w:val="num" w:pos="2280"/>
        </w:tabs>
        <w:ind w:left="2280" w:hanging="360"/>
      </w:pPr>
      <w:rPr>
        <w:rFonts w:ascii="Courier New" w:hAnsi="Courier New" w:hint="default"/>
      </w:rPr>
    </w:lvl>
    <w:lvl w:ilvl="2" w:tplc="04150005" w:tentative="1">
      <w:start w:val="1"/>
      <w:numFmt w:val="bullet"/>
      <w:lvlText w:val=""/>
      <w:lvlJc w:val="left"/>
      <w:pPr>
        <w:tabs>
          <w:tab w:val="num" w:pos="3000"/>
        </w:tabs>
        <w:ind w:left="3000" w:hanging="360"/>
      </w:pPr>
      <w:rPr>
        <w:rFonts w:ascii="Wingdings" w:hAnsi="Wingdings" w:hint="default"/>
      </w:rPr>
    </w:lvl>
    <w:lvl w:ilvl="3" w:tplc="04150001" w:tentative="1">
      <w:start w:val="1"/>
      <w:numFmt w:val="bullet"/>
      <w:lvlText w:val=""/>
      <w:lvlJc w:val="left"/>
      <w:pPr>
        <w:tabs>
          <w:tab w:val="num" w:pos="3720"/>
        </w:tabs>
        <w:ind w:left="3720" w:hanging="360"/>
      </w:pPr>
      <w:rPr>
        <w:rFonts w:ascii="Symbol" w:hAnsi="Symbol" w:hint="default"/>
      </w:rPr>
    </w:lvl>
    <w:lvl w:ilvl="4" w:tplc="04150003" w:tentative="1">
      <w:start w:val="1"/>
      <w:numFmt w:val="bullet"/>
      <w:lvlText w:val="o"/>
      <w:lvlJc w:val="left"/>
      <w:pPr>
        <w:tabs>
          <w:tab w:val="num" w:pos="4440"/>
        </w:tabs>
        <w:ind w:left="4440" w:hanging="360"/>
      </w:pPr>
      <w:rPr>
        <w:rFonts w:ascii="Courier New" w:hAnsi="Courier New" w:hint="default"/>
      </w:rPr>
    </w:lvl>
    <w:lvl w:ilvl="5" w:tplc="04150005" w:tentative="1">
      <w:start w:val="1"/>
      <w:numFmt w:val="bullet"/>
      <w:lvlText w:val=""/>
      <w:lvlJc w:val="left"/>
      <w:pPr>
        <w:tabs>
          <w:tab w:val="num" w:pos="5160"/>
        </w:tabs>
        <w:ind w:left="5160" w:hanging="360"/>
      </w:pPr>
      <w:rPr>
        <w:rFonts w:ascii="Wingdings" w:hAnsi="Wingdings" w:hint="default"/>
      </w:rPr>
    </w:lvl>
    <w:lvl w:ilvl="6" w:tplc="04150001" w:tentative="1">
      <w:start w:val="1"/>
      <w:numFmt w:val="bullet"/>
      <w:lvlText w:val=""/>
      <w:lvlJc w:val="left"/>
      <w:pPr>
        <w:tabs>
          <w:tab w:val="num" w:pos="5880"/>
        </w:tabs>
        <w:ind w:left="5880" w:hanging="360"/>
      </w:pPr>
      <w:rPr>
        <w:rFonts w:ascii="Symbol" w:hAnsi="Symbol" w:hint="default"/>
      </w:rPr>
    </w:lvl>
    <w:lvl w:ilvl="7" w:tplc="04150003" w:tentative="1">
      <w:start w:val="1"/>
      <w:numFmt w:val="bullet"/>
      <w:lvlText w:val="o"/>
      <w:lvlJc w:val="left"/>
      <w:pPr>
        <w:tabs>
          <w:tab w:val="num" w:pos="6600"/>
        </w:tabs>
        <w:ind w:left="6600" w:hanging="360"/>
      </w:pPr>
      <w:rPr>
        <w:rFonts w:ascii="Courier New" w:hAnsi="Courier New" w:hint="default"/>
      </w:rPr>
    </w:lvl>
    <w:lvl w:ilvl="8" w:tplc="04150005" w:tentative="1">
      <w:start w:val="1"/>
      <w:numFmt w:val="bullet"/>
      <w:lvlText w:val=""/>
      <w:lvlJc w:val="left"/>
      <w:pPr>
        <w:tabs>
          <w:tab w:val="num" w:pos="7320"/>
        </w:tabs>
        <w:ind w:left="7320" w:hanging="360"/>
      </w:pPr>
      <w:rPr>
        <w:rFonts w:ascii="Wingdings" w:hAnsi="Wingdings" w:hint="default"/>
      </w:rPr>
    </w:lvl>
  </w:abstractNum>
  <w:abstractNum w:abstractNumId="6" w15:restartNumberingAfterBreak="0">
    <w:nsid w:val="103F0538"/>
    <w:multiLevelType w:val="hybridMultilevel"/>
    <w:tmpl w:val="9B7683DA"/>
    <w:lvl w:ilvl="0" w:tplc="FFFFFFFF">
      <w:start w:val="1"/>
      <w:numFmt w:val="decimal"/>
      <w:lvlText w:val="%1."/>
      <w:lvlJc w:val="left"/>
      <w:pPr>
        <w:ind w:left="720" w:hanging="360"/>
      </w:pPr>
      <w:rPr>
        <w:rFonts w:ascii="1" w:hAnsi="1" w:hint="default"/>
        <w:b w:val="0"/>
        <w:i w:val="0"/>
        <w:sz w:val="22"/>
      </w:rPr>
    </w:lvl>
    <w:lvl w:ilvl="1" w:tplc="FFFFFFFF" w:tentative="1">
      <w:start w:val="1"/>
      <w:numFmt w:val="lowerLetter"/>
      <w:lvlText w:val="%2."/>
      <w:lvlJc w:val="left"/>
      <w:pPr>
        <w:ind w:left="1440" w:hanging="360"/>
      </w:pPr>
    </w:lvl>
    <w:lvl w:ilvl="2" w:tplc="04150001">
      <w:start w:val="1"/>
      <w:numFmt w:val="bullet"/>
      <w:lvlText w:val=""/>
      <w:lvlJc w:val="left"/>
      <w:pPr>
        <w:ind w:left="1068"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522DFE"/>
    <w:multiLevelType w:val="multilevel"/>
    <w:tmpl w:val="70AE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63EF1"/>
    <w:multiLevelType w:val="multilevel"/>
    <w:tmpl w:val="ED543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01886"/>
    <w:multiLevelType w:val="multilevel"/>
    <w:tmpl w:val="DFC2D484"/>
    <w:lvl w:ilvl="0">
      <w:start w:val="1"/>
      <w:numFmt w:val="bullet"/>
      <w:lvlText w:val=""/>
      <w:lvlJc w:val="left"/>
      <w:pPr>
        <w:tabs>
          <w:tab w:val="num" w:pos="1296"/>
        </w:tabs>
        <w:ind w:left="1296" w:hanging="360"/>
      </w:pPr>
      <w:rPr>
        <w:rFonts w:ascii="Symbol" w:hAnsi="Symbol" w:hint="default"/>
        <w:sz w:val="20"/>
      </w:rPr>
    </w:lvl>
    <w:lvl w:ilvl="1">
      <w:start w:val="1"/>
      <w:numFmt w:val="bullet"/>
      <w:lvlText w:val="o"/>
      <w:lvlJc w:val="left"/>
      <w:pPr>
        <w:tabs>
          <w:tab w:val="num" w:pos="2016"/>
        </w:tabs>
        <w:ind w:left="2016" w:hanging="360"/>
      </w:pPr>
      <w:rPr>
        <w:rFonts w:ascii="Courier New" w:hAnsi="Courier New" w:hint="default"/>
        <w:sz w:val="20"/>
      </w:rPr>
    </w:lvl>
    <w:lvl w:ilvl="2" w:tentative="1">
      <w:start w:val="1"/>
      <w:numFmt w:val="bullet"/>
      <w:lvlText w:val=""/>
      <w:lvlJc w:val="left"/>
      <w:pPr>
        <w:tabs>
          <w:tab w:val="num" w:pos="2736"/>
        </w:tabs>
        <w:ind w:left="2736" w:hanging="360"/>
      </w:pPr>
      <w:rPr>
        <w:rFonts w:ascii="Wingdings" w:hAnsi="Wingdings" w:hint="default"/>
        <w:sz w:val="20"/>
      </w:rPr>
    </w:lvl>
    <w:lvl w:ilvl="3" w:tentative="1">
      <w:start w:val="1"/>
      <w:numFmt w:val="bullet"/>
      <w:lvlText w:val=""/>
      <w:lvlJc w:val="left"/>
      <w:pPr>
        <w:tabs>
          <w:tab w:val="num" w:pos="3456"/>
        </w:tabs>
        <w:ind w:left="3456" w:hanging="360"/>
      </w:pPr>
      <w:rPr>
        <w:rFonts w:ascii="Wingdings" w:hAnsi="Wingdings" w:hint="default"/>
        <w:sz w:val="20"/>
      </w:rPr>
    </w:lvl>
    <w:lvl w:ilvl="4" w:tentative="1">
      <w:start w:val="1"/>
      <w:numFmt w:val="bullet"/>
      <w:lvlText w:val=""/>
      <w:lvlJc w:val="left"/>
      <w:pPr>
        <w:tabs>
          <w:tab w:val="num" w:pos="4176"/>
        </w:tabs>
        <w:ind w:left="4176" w:hanging="360"/>
      </w:pPr>
      <w:rPr>
        <w:rFonts w:ascii="Wingdings" w:hAnsi="Wingdings" w:hint="default"/>
        <w:sz w:val="20"/>
      </w:rPr>
    </w:lvl>
    <w:lvl w:ilvl="5" w:tentative="1">
      <w:start w:val="1"/>
      <w:numFmt w:val="bullet"/>
      <w:lvlText w:val=""/>
      <w:lvlJc w:val="left"/>
      <w:pPr>
        <w:tabs>
          <w:tab w:val="num" w:pos="4896"/>
        </w:tabs>
        <w:ind w:left="4896" w:hanging="360"/>
      </w:pPr>
      <w:rPr>
        <w:rFonts w:ascii="Wingdings" w:hAnsi="Wingdings" w:hint="default"/>
        <w:sz w:val="20"/>
      </w:rPr>
    </w:lvl>
    <w:lvl w:ilvl="6" w:tentative="1">
      <w:start w:val="1"/>
      <w:numFmt w:val="bullet"/>
      <w:lvlText w:val=""/>
      <w:lvlJc w:val="left"/>
      <w:pPr>
        <w:tabs>
          <w:tab w:val="num" w:pos="5616"/>
        </w:tabs>
        <w:ind w:left="5616" w:hanging="360"/>
      </w:pPr>
      <w:rPr>
        <w:rFonts w:ascii="Wingdings" w:hAnsi="Wingdings" w:hint="default"/>
        <w:sz w:val="20"/>
      </w:rPr>
    </w:lvl>
    <w:lvl w:ilvl="7" w:tentative="1">
      <w:start w:val="1"/>
      <w:numFmt w:val="bullet"/>
      <w:lvlText w:val=""/>
      <w:lvlJc w:val="left"/>
      <w:pPr>
        <w:tabs>
          <w:tab w:val="num" w:pos="6336"/>
        </w:tabs>
        <w:ind w:left="6336" w:hanging="360"/>
      </w:pPr>
      <w:rPr>
        <w:rFonts w:ascii="Wingdings" w:hAnsi="Wingdings" w:hint="default"/>
        <w:sz w:val="20"/>
      </w:rPr>
    </w:lvl>
    <w:lvl w:ilvl="8" w:tentative="1">
      <w:start w:val="1"/>
      <w:numFmt w:val="bullet"/>
      <w:lvlText w:val=""/>
      <w:lvlJc w:val="left"/>
      <w:pPr>
        <w:tabs>
          <w:tab w:val="num" w:pos="7056"/>
        </w:tabs>
        <w:ind w:left="7056" w:hanging="360"/>
      </w:pPr>
      <w:rPr>
        <w:rFonts w:ascii="Wingdings" w:hAnsi="Wingdings" w:hint="default"/>
        <w:sz w:val="20"/>
      </w:rPr>
    </w:lvl>
  </w:abstractNum>
  <w:abstractNum w:abstractNumId="10" w15:restartNumberingAfterBreak="0">
    <w:nsid w:val="17414D60"/>
    <w:multiLevelType w:val="hybridMultilevel"/>
    <w:tmpl w:val="3BA4713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1" w15:restartNumberingAfterBreak="0">
    <w:nsid w:val="185F1E42"/>
    <w:multiLevelType w:val="hybridMultilevel"/>
    <w:tmpl w:val="A3789DD6"/>
    <w:lvl w:ilvl="0" w:tplc="E9807C50">
      <w:start w:val="1"/>
      <w:numFmt w:val="decimal"/>
      <w:lvlText w:val="%1."/>
      <w:lvlJc w:val="left"/>
      <w:pPr>
        <w:ind w:left="1428" w:hanging="360"/>
      </w:pPr>
      <w:rPr>
        <w:rFonts w:ascii="1" w:hAnsi="1" w:hint="default"/>
        <w:b w:val="0"/>
        <w:i w:val="0"/>
        <w:sz w:val="22"/>
      </w:rPr>
    </w:lvl>
    <w:lvl w:ilvl="1" w:tplc="04150019" w:tentative="1">
      <w:start w:val="1"/>
      <w:numFmt w:val="lowerLetter"/>
      <w:lvlText w:val="%2."/>
      <w:lvlJc w:val="left"/>
      <w:pPr>
        <w:ind w:left="2148" w:hanging="360"/>
      </w:p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1D47559D"/>
    <w:multiLevelType w:val="hybridMultilevel"/>
    <w:tmpl w:val="5FA4AA04"/>
    <w:lvl w:ilvl="0" w:tplc="E1CE1D36">
      <w:start w:val="1"/>
      <w:numFmt w:val="bullet"/>
      <w:lvlText w:val=""/>
      <w:lvlJc w:val="left"/>
      <w:pPr>
        <w:tabs>
          <w:tab w:val="num" w:pos="34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BF4E97"/>
    <w:multiLevelType w:val="multilevel"/>
    <w:tmpl w:val="7476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53576"/>
    <w:multiLevelType w:val="hybridMultilevel"/>
    <w:tmpl w:val="8D323186"/>
    <w:lvl w:ilvl="0" w:tplc="6B3093C6">
      <w:numFmt w:val="bullet"/>
      <w:lvlText w:val="•"/>
      <w:lvlJc w:val="left"/>
      <w:pPr>
        <w:ind w:left="1070" w:hanging="710"/>
      </w:pPr>
      <w:rPr>
        <w:rFonts w:ascii="Calibri" w:eastAsia="Times New Roman" w:hAnsi="Calibri"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003FD7"/>
    <w:multiLevelType w:val="hybridMultilevel"/>
    <w:tmpl w:val="CEECB2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770C3B"/>
    <w:multiLevelType w:val="hybridMultilevel"/>
    <w:tmpl w:val="13E801E2"/>
    <w:lvl w:ilvl="0" w:tplc="50A655E2">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811D84"/>
    <w:multiLevelType w:val="hybridMultilevel"/>
    <w:tmpl w:val="01101876"/>
    <w:lvl w:ilvl="0" w:tplc="6B3093C6">
      <w:numFmt w:val="bullet"/>
      <w:lvlText w:val="•"/>
      <w:lvlJc w:val="left"/>
      <w:pPr>
        <w:ind w:left="1430" w:hanging="710"/>
      </w:pPr>
      <w:rPr>
        <w:rFonts w:ascii="Calibri" w:eastAsia="Times New Roman" w:hAnsi="Calibri"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18C0D3C"/>
    <w:multiLevelType w:val="hybridMultilevel"/>
    <w:tmpl w:val="EFDC4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F85CED"/>
    <w:multiLevelType w:val="multilevel"/>
    <w:tmpl w:val="8D86E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312D3F"/>
    <w:multiLevelType w:val="hybridMultilevel"/>
    <w:tmpl w:val="27766616"/>
    <w:lvl w:ilvl="0" w:tplc="8F1A53E6">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3AE92BB0"/>
    <w:multiLevelType w:val="hybridMultilevel"/>
    <w:tmpl w:val="85F0D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206D24"/>
    <w:multiLevelType w:val="hybridMultilevel"/>
    <w:tmpl w:val="BF3E3AE2"/>
    <w:lvl w:ilvl="0" w:tplc="5CEEABB0">
      <w:start w:val="1"/>
      <w:numFmt w:val="bullet"/>
      <w:lvlText w:val="•"/>
      <w:lvlJc w:val="left"/>
      <w:pPr>
        <w:tabs>
          <w:tab w:val="num" w:pos="720"/>
        </w:tabs>
        <w:ind w:left="720" w:hanging="360"/>
      </w:pPr>
      <w:rPr>
        <w:rFonts w:ascii="Arial" w:hAnsi="Arial" w:hint="default"/>
      </w:rPr>
    </w:lvl>
    <w:lvl w:ilvl="1" w:tplc="01D0DEA2" w:tentative="1">
      <w:start w:val="1"/>
      <w:numFmt w:val="bullet"/>
      <w:lvlText w:val="•"/>
      <w:lvlJc w:val="left"/>
      <w:pPr>
        <w:tabs>
          <w:tab w:val="num" w:pos="1440"/>
        </w:tabs>
        <w:ind w:left="1440" w:hanging="360"/>
      </w:pPr>
      <w:rPr>
        <w:rFonts w:ascii="Arial" w:hAnsi="Arial" w:hint="default"/>
      </w:rPr>
    </w:lvl>
    <w:lvl w:ilvl="2" w:tplc="8F52DE74" w:tentative="1">
      <w:start w:val="1"/>
      <w:numFmt w:val="bullet"/>
      <w:lvlText w:val="•"/>
      <w:lvlJc w:val="left"/>
      <w:pPr>
        <w:tabs>
          <w:tab w:val="num" w:pos="2160"/>
        </w:tabs>
        <w:ind w:left="2160" w:hanging="360"/>
      </w:pPr>
      <w:rPr>
        <w:rFonts w:ascii="Arial" w:hAnsi="Arial" w:hint="default"/>
      </w:rPr>
    </w:lvl>
    <w:lvl w:ilvl="3" w:tplc="B79EA1EC" w:tentative="1">
      <w:start w:val="1"/>
      <w:numFmt w:val="bullet"/>
      <w:lvlText w:val="•"/>
      <w:lvlJc w:val="left"/>
      <w:pPr>
        <w:tabs>
          <w:tab w:val="num" w:pos="2880"/>
        </w:tabs>
        <w:ind w:left="2880" w:hanging="360"/>
      </w:pPr>
      <w:rPr>
        <w:rFonts w:ascii="Arial" w:hAnsi="Arial" w:hint="default"/>
      </w:rPr>
    </w:lvl>
    <w:lvl w:ilvl="4" w:tplc="69B4B63C" w:tentative="1">
      <w:start w:val="1"/>
      <w:numFmt w:val="bullet"/>
      <w:lvlText w:val="•"/>
      <w:lvlJc w:val="left"/>
      <w:pPr>
        <w:tabs>
          <w:tab w:val="num" w:pos="3600"/>
        </w:tabs>
        <w:ind w:left="3600" w:hanging="360"/>
      </w:pPr>
      <w:rPr>
        <w:rFonts w:ascii="Arial" w:hAnsi="Arial" w:hint="default"/>
      </w:rPr>
    </w:lvl>
    <w:lvl w:ilvl="5" w:tplc="92845360" w:tentative="1">
      <w:start w:val="1"/>
      <w:numFmt w:val="bullet"/>
      <w:lvlText w:val="•"/>
      <w:lvlJc w:val="left"/>
      <w:pPr>
        <w:tabs>
          <w:tab w:val="num" w:pos="4320"/>
        </w:tabs>
        <w:ind w:left="4320" w:hanging="360"/>
      </w:pPr>
      <w:rPr>
        <w:rFonts w:ascii="Arial" w:hAnsi="Arial" w:hint="default"/>
      </w:rPr>
    </w:lvl>
    <w:lvl w:ilvl="6" w:tplc="ECF071E2" w:tentative="1">
      <w:start w:val="1"/>
      <w:numFmt w:val="bullet"/>
      <w:lvlText w:val="•"/>
      <w:lvlJc w:val="left"/>
      <w:pPr>
        <w:tabs>
          <w:tab w:val="num" w:pos="5040"/>
        </w:tabs>
        <w:ind w:left="5040" w:hanging="360"/>
      </w:pPr>
      <w:rPr>
        <w:rFonts w:ascii="Arial" w:hAnsi="Arial" w:hint="default"/>
      </w:rPr>
    </w:lvl>
    <w:lvl w:ilvl="7" w:tplc="4C52493C" w:tentative="1">
      <w:start w:val="1"/>
      <w:numFmt w:val="bullet"/>
      <w:lvlText w:val="•"/>
      <w:lvlJc w:val="left"/>
      <w:pPr>
        <w:tabs>
          <w:tab w:val="num" w:pos="5760"/>
        </w:tabs>
        <w:ind w:left="5760" w:hanging="360"/>
      </w:pPr>
      <w:rPr>
        <w:rFonts w:ascii="Arial" w:hAnsi="Arial" w:hint="default"/>
      </w:rPr>
    </w:lvl>
    <w:lvl w:ilvl="8" w:tplc="E4FAE62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1F87EAB"/>
    <w:multiLevelType w:val="hybridMultilevel"/>
    <w:tmpl w:val="01C89BB8"/>
    <w:lvl w:ilvl="0" w:tplc="DBDABAF0">
      <w:numFmt w:val="bullet"/>
      <w:lvlText w:val=""/>
      <w:lvlJc w:val="left"/>
      <w:pPr>
        <w:ind w:left="720" w:hanging="360"/>
      </w:pPr>
      <w:rPr>
        <w:rFonts w:ascii="Wingdings" w:eastAsia="Times New Roman"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126212"/>
    <w:multiLevelType w:val="hybridMultilevel"/>
    <w:tmpl w:val="27A2C2DC"/>
    <w:lvl w:ilvl="0" w:tplc="6B3093C6">
      <w:numFmt w:val="bullet"/>
      <w:lvlText w:val="•"/>
      <w:lvlJc w:val="left"/>
      <w:pPr>
        <w:ind w:left="1070" w:hanging="710"/>
      </w:pPr>
      <w:rPr>
        <w:rFonts w:ascii="Calibri" w:eastAsia="Times New Roman" w:hAnsi="Calibri"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253194F"/>
    <w:multiLevelType w:val="hybridMultilevel"/>
    <w:tmpl w:val="4DB6C9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EA1400"/>
    <w:multiLevelType w:val="hybridMultilevel"/>
    <w:tmpl w:val="16202BAE"/>
    <w:lvl w:ilvl="0" w:tplc="E1CE1D36">
      <w:start w:val="1"/>
      <w:numFmt w:val="bullet"/>
      <w:lvlText w:val=""/>
      <w:lvlJc w:val="left"/>
      <w:pPr>
        <w:tabs>
          <w:tab w:val="num" w:pos="1180"/>
        </w:tabs>
        <w:ind w:left="1180" w:hanging="340"/>
      </w:pPr>
      <w:rPr>
        <w:rFonts w:ascii="Symbol" w:hAnsi="Symbol" w:hint="default"/>
        <w:color w:val="auto"/>
      </w:rPr>
    </w:lvl>
    <w:lvl w:ilvl="1" w:tplc="04150003" w:tentative="1">
      <w:start w:val="1"/>
      <w:numFmt w:val="bullet"/>
      <w:lvlText w:val="o"/>
      <w:lvlJc w:val="left"/>
      <w:pPr>
        <w:tabs>
          <w:tab w:val="num" w:pos="2280"/>
        </w:tabs>
        <w:ind w:left="2280" w:hanging="360"/>
      </w:pPr>
      <w:rPr>
        <w:rFonts w:ascii="Courier New" w:hAnsi="Courier New" w:hint="default"/>
      </w:rPr>
    </w:lvl>
    <w:lvl w:ilvl="2" w:tplc="04150005" w:tentative="1">
      <w:start w:val="1"/>
      <w:numFmt w:val="bullet"/>
      <w:lvlText w:val=""/>
      <w:lvlJc w:val="left"/>
      <w:pPr>
        <w:tabs>
          <w:tab w:val="num" w:pos="3000"/>
        </w:tabs>
        <w:ind w:left="3000" w:hanging="360"/>
      </w:pPr>
      <w:rPr>
        <w:rFonts w:ascii="Wingdings" w:hAnsi="Wingdings" w:hint="default"/>
      </w:rPr>
    </w:lvl>
    <w:lvl w:ilvl="3" w:tplc="04150001" w:tentative="1">
      <w:start w:val="1"/>
      <w:numFmt w:val="bullet"/>
      <w:lvlText w:val=""/>
      <w:lvlJc w:val="left"/>
      <w:pPr>
        <w:tabs>
          <w:tab w:val="num" w:pos="3720"/>
        </w:tabs>
        <w:ind w:left="3720" w:hanging="360"/>
      </w:pPr>
      <w:rPr>
        <w:rFonts w:ascii="Symbol" w:hAnsi="Symbol" w:hint="default"/>
      </w:rPr>
    </w:lvl>
    <w:lvl w:ilvl="4" w:tplc="04150003" w:tentative="1">
      <w:start w:val="1"/>
      <w:numFmt w:val="bullet"/>
      <w:lvlText w:val="o"/>
      <w:lvlJc w:val="left"/>
      <w:pPr>
        <w:tabs>
          <w:tab w:val="num" w:pos="4440"/>
        </w:tabs>
        <w:ind w:left="4440" w:hanging="360"/>
      </w:pPr>
      <w:rPr>
        <w:rFonts w:ascii="Courier New" w:hAnsi="Courier New" w:hint="default"/>
      </w:rPr>
    </w:lvl>
    <w:lvl w:ilvl="5" w:tplc="04150005" w:tentative="1">
      <w:start w:val="1"/>
      <w:numFmt w:val="bullet"/>
      <w:lvlText w:val=""/>
      <w:lvlJc w:val="left"/>
      <w:pPr>
        <w:tabs>
          <w:tab w:val="num" w:pos="5160"/>
        </w:tabs>
        <w:ind w:left="5160" w:hanging="360"/>
      </w:pPr>
      <w:rPr>
        <w:rFonts w:ascii="Wingdings" w:hAnsi="Wingdings" w:hint="default"/>
      </w:rPr>
    </w:lvl>
    <w:lvl w:ilvl="6" w:tplc="04150001" w:tentative="1">
      <w:start w:val="1"/>
      <w:numFmt w:val="bullet"/>
      <w:lvlText w:val=""/>
      <w:lvlJc w:val="left"/>
      <w:pPr>
        <w:tabs>
          <w:tab w:val="num" w:pos="5880"/>
        </w:tabs>
        <w:ind w:left="5880" w:hanging="360"/>
      </w:pPr>
      <w:rPr>
        <w:rFonts w:ascii="Symbol" w:hAnsi="Symbol" w:hint="default"/>
      </w:rPr>
    </w:lvl>
    <w:lvl w:ilvl="7" w:tplc="04150003" w:tentative="1">
      <w:start w:val="1"/>
      <w:numFmt w:val="bullet"/>
      <w:lvlText w:val="o"/>
      <w:lvlJc w:val="left"/>
      <w:pPr>
        <w:tabs>
          <w:tab w:val="num" w:pos="6600"/>
        </w:tabs>
        <w:ind w:left="6600" w:hanging="360"/>
      </w:pPr>
      <w:rPr>
        <w:rFonts w:ascii="Courier New" w:hAnsi="Courier New" w:hint="default"/>
      </w:rPr>
    </w:lvl>
    <w:lvl w:ilvl="8" w:tplc="04150005" w:tentative="1">
      <w:start w:val="1"/>
      <w:numFmt w:val="bullet"/>
      <w:lvlText w:val=""/>
      <w:lvlJc w:val="left"/>
      <w:pPr>
        <w:tabs>
          <w:tab w:val="num" w:pos="7320"/>
        </w:tabs>
        <w:ind w:left="7320" w:hanging="360"/>
      </w:pPr>
      <w:rPr>
        <w:rFonts w:ascii="Wingdings" w:hAnsi="Wingdings" w:hint="default"/>
      </w:rPr>
    </w:lvl>
  </w:abstractNum>
  <w:abstractNum w:abstractNumId="27" w15:restartNumberingAfterBreak="0">
    <w:nsid w:val="4A5F7016"/>
    <w:multiLevelType w:val="multilevel"/>
    <w:tmpl w:val="9FD8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F71421"/>
    <w:multiLevelType w:val="hybridMultilevel"/>
    <w:tmpl w:val="C28AD9B8"/>
    <w:lvl w:ilvl="0" w:tplc="50A655E2">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EB702DB"/>
    <w:multiLevelType w:val="hybridMultilevel"/>
    <w:tmpl w:val="5E1609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0797ECA"/>
    <w:multiLevelType w:val="hybridMultilevel"/>
    <w:tmpl w:val="B1BE7AA2"/>
    <w:lvl w:ilvl="0" w:tplc="1588684C">
      <w:start w:val="100"/>
      <w:numFmt w:val="bullet"/>
      <w:lvlText w:val=""/>
      <w:lvlJc w:val="left"/>
      <w:pPr>
        <w:ind w:left="720" w:hanging="360"/>
      </w:pPr>
      <w:rPr>
        <w:rFonts w:ascii="Symbol" w:eastAsia="Calibri"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5E337CD"/>
    <w:multiLevelType w:val="hybridMultilevel"/>
    <w:tmpl w:val="03728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9C774CF"/>
    <w:multiLevelType w:val="hybridMultilevel"/>
    <w:tmpl w:val="E946C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0F73CCF"/>
    <w:multiLevelType w:val="hybridMultilevel"/>
    <w:tmpl w:val="2AE8708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F930B4"/>
    <w:multiLevelType w:val="hybridMultilevel"/>
    <w:tmpl w:val="6AE0B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4C77C73"/>
    <w:multiLevelType w:val="hybridMultilevel"/>
    <w:tmpl w:val="1A56989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6AA222A5"/>
    <w:multiLevelType w:val="hybridMultilevel"/>
    <w:tmpl w:val="A8DED866"/>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15:restartNumberingAfterBreak="0">
    <w:nsid w:val="75660AE4"/>
    <w:multiLevelType w:val="multilevel"/>
    <w:tmpl w:val="10B0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24B86"/>
    <w:multiLevelType w:val="hybridMultilevel"/>
    <w:tmpl w:val="32287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74F53E4"/>
    <w:multiLevelType w:val="hybridMultilevel"/>
    <w:tmpl w:val="522CC2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0" w15:restartNumberingAfterBreak="0">
    <w:nsid w:val="7CA10BD4"/>
    <w:multiLevelType w:val="hybridMultilevel"/>
    <w:tmpl w:val="DFB4A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E0F540A"/>
    <w:multiLevelType w:val="hybridMultilevel"/>
    <w:tmpl w:val="8E8E73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37"/>
  </w:num>
  <w:num w:numId="4">
    <w:abstractNumId w:val="8"/>
  </w:num>
  <w:num w:numId="5">
    <w:abstractNumId w:val="9"/>
  </w:num>
  <w:num w:numId="6">
    <w:abstractNumId w:val="20"/>
  </w:num>
  <w:num w:numId="7">
    <w:abstractNumId w:val="5"/>
  </w:num>
  <w:num w:numId="8">
    <w:abstractNumId w:val="26"/>
  </w:num>
  <w:num w:numId="9">
    <w:abstractNumId w:val="23"/>
  </w:num>
  <w:num w:numId="10">
    <w:abstractNumId w:val="12"/>
  </w:num>
  <w:num w:numId="11">
    <w:abstractNumId w:val="22"/>
  </w:num>
  <w:num w:numId="12">
    <w:abstractNumId w:val="10"/>
  </w:num>
  <w:num w:numId="13">
    <w:abstractNumId w:val="36"/>
  </w:num>
  <w:num w:numId="14">
    <w:abstractNumId w:val="35"/>
  </w:num>
  <w:num w:numId="15">
    <w:abstractNumId w:val="25"/>
  </w:num>
  <w:num w:numId="16">
    <w:abstractNumId w:val="39"/>
  </w:num>
  <w:num w:numId="17">
    <w:abstractNumId w:val="29"/>
  </w:num>
  <w:num w:numId="18">
    <w:abstractNumId w:val="21"/>
  </w:num>
  <w:num w:numId="19">
    <w:abstractNumId w:val="14"/>
  </w:num>
  <w:num w:numId="20">
    <w:abstractNumId w:val="24"/>
  </w:num>
  <w:num w:numId="21">
    <w:abstractNumId w:val="17"/>
  </w:num>
  <w:num w:numId="22">
    <w:abstractNumId w:val="19"/>
  </w:num>
  <w:num w:numId="23">
    <w:abstractNumId w:val="7"/>
  </w:num>
  <w:num w:numId="24">
    <w:abstractNumId w:val="41"/>
  </w:num>
  <w:num w:numId="25">
    <w:abstractNumId w:val="30"/>
  </w:num>
  <w:num w:numId="26">
    <w:abstractNumId w:val="15"/>
  </w:num>
  <w:num w:numId="27">
    <w:abstractNumId w:val="34"/>
  </w:num>
  <w:num w:numId="28">
    <w:abstractNumId w:val="40"/>
  </w:num>
  <w:num w:numId="29">
    <w:abstractNumId w:val="11"/>
  </w:num>
  <w:num w:numId="30">
    <w:abstractNumId w:val="0"/>
  </w:num>
  <w:num w:numId="31">
    <w:abstractNumId w:val="6"/>
  </w:num>
  <w:num w:numId="32">
    <w:abstractNumId w:val="38"/>
  </w:num>
  <w:num w:numId="33">
    <w:abstractNumId w:val="2"/>
  </w:num>
  <w:num w:numId="34">
    <w:abstractNumId w:val="31"/>
  </w:num>
  <w:num w:numId="35">
    <w:abstractNumId w:val="16"/>
  </w:num>
  <w:num w:numId="36">
    <w:abstractNumId w:val="3"/>
  </w:num>
  <w:num w:numId="37">
    <w:abstractNumId w:val="28"/>
  </w:num>
  <w:num w:numId="38">
    <w:abstractNumId w:val="1"/>
  </w:num>
  <w:num w:numId="39">
    <w:abstractNumId w:val="33"/>
  </w:num>
  <w:num w:numId="40">
    <w:abstractNumId w:val="4"/>
  </w:num>
  <w:num w:numId="41">
    <w:abstractNumId w:val="1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EB6"/>
    <w:rsid w:val="00002005"/>
    <w:rsid w:val="0000613F"/>
    <w:rsid w:val="00006A66"/>
    <w:rsid w:val="000077E5"/>
    <w:rsid w:val="00023235"/>
    <w:rsid w:val="00030FEE"/>
    <w:rsid w:val="00035B83"/>
    <w:rsid w:val="00035E45"/>
    <w:rsid w:val="0004057F"/>
    <w:rsid w:val="000504CC"/>
    <w:rsid w:val="00052691"/>
    <w:rsid w:val="00071FC3"/>
    <w:rsid w:val="000746AE"/>
    <w:rsid w:val="00074B2D"/>
    <w:rsid w:val="00090A88"/>
    <w:rsid w:val="000A0B3C"/>
    <w:rsid w:val="000A1F6D"/>
    <w:rsid w:val="000A2609"/>
    <w:rsid w:val="000C0985"/>
    <w:rsid w:val="000C6B3B"/>
    <w:rsid w:val="000C72DF"/>
    <w:rsid w:val="000C7D27"/>
    <w:rsid w:val="000D5EEB"/>
    <w:rsid w:val="000E74D0"/>
    <w:rsid w:val="001017D7"/>
    <w:rsid w:val="00106CF2"/>
    <w:rsid w:val="001129F5"/>
    <w:rsid w:val="00121A45"/>
    <w:rsid w:val="001268F0"/>
    <w:rsid w:val="00133F30"/>
    <w:rsid w:val="00137E75"/>
    <w:rsid w:val="00140A5D"/>
    <w:rsid w:val="00144E9B"/>
    <w:rsid w:val="0014766C"/>
    <w:rsid w:val="0015191C"/>
    <w:rsid w:val="00152A96"/>
    <w:rsid w:val="001558FA"/>
    <w:rsid w:val="00156166"/>
    <w:rsid w:val="00157220"/>
    <w:rsid w:val="00162992"/>
    <w:rsid w:val="00163DE7"/>
    <w:rsid w:val="0016748A"/>
    <w:rsid w:val="00171805"/>
    <w:rsid w:val="00175CF7"/>
    <w:rsid w:val="00176B4C"/>
    <w:rsid w:val="00177B94"/>
    <w:rsid w:val="0018059F"/>
    <w:rsid w:val="001920A8"/>
    <w:rsid w:val="001B4788"/>
    <w:rsid w:val="001B6761"/>
    <w:rsid w:val="001B67BD"/>
    <w:rsid w:val="001B7B4D"/>
    <w:rsid w:val="001C3250"/>
    <w:rsid w:val="001D7FF4"/>
    <w:rsid w:val="001E26A1"/>
    <w:rsid w:val="001E34C2"/>
    <w:rsid w:val="001E3AD2"/>
    <w:rsid w:val="001E49A6"/>
    <w:rsid w:val="001F01DF"/>
    <w:rsid w:val="002046BA"/>
    <w:rsid w:val="002072C2"/>
    <w:rsid w:val="00212B36"/>
    <w:rsid w:val="00214915"/>
    <w:rsid w:val="00215A7A"/>
    <w:rsid w:val="00217702"/>
    <w:rsid w:val="002179DA"/>
    <w:rsid w:val="00235BA5"/>
    <w:rsid w:val="00251560"/>
    <w:rsid w:val="00251C1B"/>
    <w:rsid w:val="0026387C"/>
    <w:rsid w:val="00265693"/>
    <w:rsid w:val="00267B35"/>
    <w:rsid w:val="00267ED8"/>
    <w:rsid w:val="00274428"/>
    <w:rsid w:val="00293243"/>
    <w:rsid w:val="0029350D"/>
    <w:rsid w:val="002B079E"/>
    <w:rsid w:val="002B0887"/>
    <w:rsid w:val="002C3BC9"/>
    <w:rsid w:val="002C61B0"/>
    <w:rsid w:val="002E6DD8"/>
    <w:rsid w:val="002F6565"/>
    <w:rsid w:val="0031315B"/>
    <w:rsid w:val="003166C2"/>
    <w:rsid w:val="00317DF4"/>
    <w:rsid w:val="00320A5E"/>
    <w:rsid w:val="00321803"/>
    <w:rsid w:val="003224DF"/>
    <w:rsid w:val="00322594"/>
    <w:rsid w:val="0032386E"/>
    <w:rsid w:val="003238F9"/>
    <w:rsid w:val="00332347"/>
    <w:rsid w:val="00335FEB"/>
    <w:rsid w:val="00340BC9"/>
    <w:rsid w:val="00340BCA"/>
    <w:rsid w:val="00341F8C"/>
    <w:rsid w:val="00346506"/>
    <w:rsid w:val="00347F5B"/>
    <w:rsid w:val="00352AD1"/>
    <w:rsid w:val="00353A98"/>
    <w:rsid w:val="0036058B"/>
    <w:rsid w:val="00360C1F"/>
    <w:rsid w:val="00360FE5"/>
    <w:rsid w:val="00367199"/>
    <w:rsid w:val="00370757"/>
    <w:rsid w:val="00371CCF"/>
    <w:rsid w:val="00381908"/>
    <w:rsid w:val="00384B5B"/>
    <w:rsid w:val="00385CB6"/>
    <w:rsid w:val="00391252"/>
    <w:rsid w:val="0039693C"/>
    <w:rsid w:val="003A1FAD"/>
    <w:rsid w:val="003A4CDB"/>
    <w:rsid w:val="003A5E87"/>
    <w:rsid w:val="003B6B13"/>
    <w:rsid w:val="003C1099"/>
    <w:rsid w:val="003C443A"/>
    <w:rsid w:val="003C4DB0"/>
    <w:rsid w:val="003D0A1F"/>
    <w:rsid w:val="003D504F"/>
    <w:rsid w:val="003D6850"/>
    <w:rsid w:val="003D6DDA"/>
    <w:rsid w:val="003E3FC6"/>
    <w:rsid w:val="003E52A6"/>
    <w:rsid w:val="003E63ED"/>
    <w:rsid w:val="003E796A"/>
    <w:rsid w:val="003F4714"/>
    <w:rsid w:val="004029C0"/>
    <w:rsid w:val="004049F3"/>
    <w:rsid w:val="0041359C"/>
    <w:rsid w:val="004168E1"/>
    <w:rsid w:val="00420C97"/>
    <w:rsid w:val="00443E13"/>
    <w:rsid w:val="004446E4"/>
    <w:rsid w:val="00446109"/>
    <w:rsid w:val="004520A4"/>
    <w:rsid w:val="004673B3"/>
    <w:rsid w:val="004676BC"/>
    <w:rsid w:val="0047702A"/>
    <w:rsid w:val="00480C6E"/>
    <w:rsid w:val="00484822"/>
    <w:rsid w:val="00493DDF"/>
    <w:rsid w:val="00494D6C"/>
    <w:rsid w:val="00494E81"/>
    <w:rsid w:val="00496EF9"/>
    <w:rsid w:val="004A37E9"/>
    <w:rsid w:val="004A5968"/>
    <w:rsid w:val="004B25FA"/>
    <w:rsid w:val="004C4BCA"/>
    <w:rsid w:val="004C7AD8"/>
    <w:rsid w:val="004D510B"/>
    <w:rsid w:val="004E2676"/>
    <w:rsid w:val="004E5A86"/>
    <w:rsid w:val="004E7913"/>
    <w:rsid w:val="004F29B8"/>
    <w:rsid w:val="00504A36"/>
    <w:rsid w:val="00513588"/>
    <w:rsid w:val="00514B97"/>
    <w:rsid w:val="0052347C"/>
    <w:rsid w:val="00523DF6"/>
    <w:rsid w:val="005270BF"/>
    <w:rsid w:val="00540633"/>
    <w:rsid w:val="00540F09"/>
    <w:rsid w:val="005455BC"/>
    <w:rsid w:val="005606DE"/>
    <w:rsid w:val="00562028"/>
    <w:rsid w:val="00562930"/>
    <w:rsid w:val="005713AB"/>
    <w:rsid w:val="0057534E"/>
    <w:rsid w:val="00582823"/>
    <w:rsid w:val="00583270"/>
    <w:rsid w:val="005940A3"/>
    <w:rsid w:val="00596DFF"/>
    <w:rsid w:val="005B151F"/>
    <w:rsid w:val="005B1F8F"/>
    <w:rsid w:val="005B7E75"/>
    <w:rsid w:val="005C6B0D"/>
    <w:rsid w:val="005D22AD"/>
    <w:rsid w:val="005D28B7"/>
    <w:rsid w:val="005D40CE"/>
    <w:rsid w:val="005D5166"/>
    <w:rsid w:val="005D5379"/>
    <w:rsid w:val="005D6B8C"/>
    <w:rsid w:val="005E600C"/>
    <w:rsid w:val="005F11DE"/>
    <w:rsid w:val="005F1B59"/>
    <w:rsid w:val="005F4990"/>
    <w:rsid w:val="00602CDA"/>
    <w:rsid w:val="00604CE4"/>
    <w:rsid w:val="0061619D"/>
    <w:rsid w:val="00630957"/>
    <w:rsid w:val="00632117"/>
    <w:rsid w:val="00633ACF"/>
    <w:rsid w:val="00637D7E"/>
    <w:rsid w:val="00642BEE"/>
    <w:rsid w:val="006456A7"/>
    <w:rsid w:val="0065377F"/>
    <w:rsid w:val="00657BF7"/>
    <w:rsid w:val="00667B2B"/>
    <w:rsid w:val="0067251D"/>
    <w:rsid w:val="00681531"/>
    <w:rsid w:val="0068238B"/>
    <w:rsid w:val="00685C23"/>
    <w:rsid w:val="00685D53"/>
    <w:rsid w:val="006A1810"/>
    <w:rsid w:val="006A4901"/>
    <w:rsid w:val="006B392E"/>
    <w:rsid w:val="006C0D99"/>
    <w:rsid w:val="006C5322"/>
    <w:rsid w:val="006C7311"/>
    <w:rsid w:val="006D2C24"/>
    <w:rsid w:val="006D5E40"/>
    <w:rsid w:val="006D7692"/>
    <w:rsid w:val="006E557C"/>
    <w:rsid w:val="006F3F1E"/>
    <w:rsid w:val="006F5CF5"/>
    <w:rsid w:val="006F5FB6"/>
    <w:rsid w:val="007079FD"/>
    <w:rsid w:val="00714754"/>
    <w:rsid w:val="00716F80"/>
    <w:rsid w:val="007207F2"/>
    <w:rsid w:val="0072349D"/>
    <w:rsid w:val="00734832"/>
    <w:rsid w:val="007372FA"/>
    <w:rsid w:val="007409D8"/>
    <w:rsid w:val="0074187C"/>
    <w:rsid w:val="0074701E"/>
    <w:rsid w:val="00755178"/>
    <w:rsid w:val="00764E73"/>
    <w:rsid w:val="007706EB"/>
    <w:rsid w:val="0077578B"/>
    <w:rsid w:val="007761B2"/>
    <w:rsid w:val="007764CE"/>
    <w:rsid w:val="0078094C"/>
    <w:rsid w:val="007868C2"/>
    <w:rsid w:val="0079060A"/>
    <w:rsid w:val="00792E47"/>
    <w:rsid w:val="00793BE9"/>
    <w:rsid w:val="00793EB6"/>
    <w:rsid w:val="007A15DC"/>
    <w:rsid w:val="007A4B1D"/>
    <w:rsid w:val="007C2B7C"/>
    <w:rsid w:val="007C3FC0"/>
    <w:rsid w:val="007C3FFE"/>
    <w:rsid w:val="007D50DF"/>
    <w:rsid w:val="007D5FA3"/>
    <w:rsid w:val="007E2335"/>
    <w:rsid w:val="007E5031"/>
    <w:rsid w:val="007E6DA8"/>
    <w:rsid w:val="007E7419"/>
    <w:rsid w:val="007F3783"/>
    <w:rsid w:val="007F678E"/>
    <w:rsid w:val="00824527"/>
    <w:rsid w:val="00832D28"/>
    <w:rsid w:val="00832F09"/>
    <w:rsid w:val="00833CBB"/>
    <w:rsid w:val="00835CEB"/>
    <w:rsid w:val="00841BAD"/>
    <w:rsid w:val="00853BA2"/>
    <w:rsid w:val="00853F38"/>
    <w:rsid w:val="0085727C"/>
    <w:rsid w:val="008636C2"/>
    <w:rsid w:val="0087437C"/>
    <w:rsid w:val="00880A84"/>
    <w:rsid w:val="0088286A"/>
    <w:rsid w:val="00887496"/>
    <w:rsid w:val="008A5470"/>
    <w:rsid w:val="008A5DA4"/>
    <w:rsid w:val="008A6F12"/>
    <w:rsid w:val="008B10D9"/>
    <w:rsid w:val="008B1E74"/>
    <w:rsid w:val="008C3FB6"/>
    <w:rsid w:val="008C5198"/>
    <w:rsid w:val="008C607D"/>
    <w:rsid w:val="008C7E2D"/>
    <w:rsid w:val="008D0FF3"/>
    <w:rsid w:val="008D5406"/>
    <w:rsid w:val="008F0214"/>
    <w:rsid w:val="008F26C2"/>
    <w:rsid w:val="00902A0B"/>
    <w:rsid w:val="00904758"/>
    <w:rsid w:val="00913F6D"/>
    <w:rsid w:val="00935465"/>
    <w:rsid w:val="00937A49"/>
    <w:rsid w:val="009438B5"/>
    <w:rsid w:val="00943E78"/>
    <w:rsid w:val="0094475E"/>
    <w:rsid w:val="00944DE9"/>
    <w:rsid w:val="009547EF"/>
    <w:rsid w:val="009559A1"/>
    <w:rsid w:val="0096158A"/>
    <w:rsid w:val="00962043"/>
    <w:rsid w:val="0096611B"/>
    <w:rsid w:val="00966A99"/>
    <w:rsid w:val="00974600"/>
    <w:rsid w:val="00975629"/>
    <w:rsid w:val="009960F6"/>
    <w:rsid w:val="009A2F69"/>
    <w:rsid w:val="009B21E8"/>
    <w:rsid w:val="009B2BB3"/>
    <w:rsid w:val="009C02A7"/>
    <w:rsid w:val="009D1921"/>
    <w:rsid w:val="009D33F1"/>
    <w:rsid w:val="009D55B3"/>
    <w:rsid w:val="009D7937"/>
    <w:rsid w:val="009E2A9A"/>
    <w:rsid w:val="009E33F4"/>
    <w:rsid w:val="009E3872"/>
    <w:rsid w:val="009F2FB0"/>
    <w:rsid w:val="009F5884"/>
    <w:rsid w:val="009F670F"/>
    <w:rsid w:val="00A0613D"/>
    <w:rsid w:val="00A121D9"/>
    <w:rsid w:val="00A322C9"/>
    <w:rsid w:val="00A327D4"/>
    <w:rsid w:val="00A439D4"/>
    <w:rsid w:val="00A44404"/>
    <w:rsid w:val="00A44A6C"/>
    <w:rsid w:val="00A45313"/>
    <w:rsid w:val="00A45B5D"/>
    <w:rsid w:val="00A549F5"/>
    <w:rsid w:val="00A55F20"/>
    <w:rsid w:val="00A806F3"/>
    <w:rsid w:val="00A824F7"/>
    <w:rsid w:val="00A83DE6"/>
    <w:rsid w:val="00A872D2"/>
    <w:rsid w:val="00A97E45"/>
    <w:rsid w:val="00AA221C"/>
    <w:rsid w:val="00AA7225"/>
    <w:rsid w:val="00AB2F67"/>
    <w:rsid w:val="00AC0E12"/>
    <w:rsid w:val="00AC6E80"/>
    <w:rsid w:val="00AC70D1"/>
    <w:rsid w:val="00AC7E49"/>
    <w:rsid w:val="00AD334E"/>
    <w:rsid w:val="00AD3522"/>
    <w:rsid w:val="00AE66B8"/>
    <w:rsid w:val="00AF58C8"/>
    <w:rsid w:val="00AF68F6"/>
    <w:rsid w:val="00B02F4D"/>
    <w:rsid w:val="00B150A1"/>
    <w:rsid w:val="00B152F6"/>
    <w:rsid w:val="00B20D53"/>
    <w:rsid w:val="00B21455"/>
    <w:rsid w:val="00B21C13"/>
    <w:rsid w:val="00B3111D"/>
    <w:rsid w:val="00B31C08"/>
    <w:rsid w:val="00B359C7"/>
    <w:rsid w:val="00B37EC2"/>
    <w:rsid w:val="00B427BA"/>
    <w:rsid w:val="00B43F5E"/>
    <w:rsid w:val="00B458FB"/>
    <w:rsid w:val="00B462B5"/>
    <w:rsid w:val="00B534AD"/>
    <w:rsid w:val="00B67F21"/>
    <w:rsid w:val="00B70063"/>
    <w:rsid w:val="00B71412"/>
    <w:rsid w:val="00B742AD"/>
    <w:rsid w:val="00B772D8"/>
    <w:rsid w:val="00B80F46"/>
    <w:rsid w:val="00B94C38"/>
    <w:rsid w:val="00B95490"/>
    <w:rsid w:val="00B97664"/>
    <w:rsid w:val="00BA0B8C"/>
    <w:rsid w:val="00BA5D36"/>
    <w:rsid w:val="00BC0475"/>
    <w:rsid w:val="00BC7008"/>
    <w:rsid w:val="00BC767B"/>
    <w:rsid w:val="00BD1154"/>
    <w:rsid w:val="00BE1DCB"/>
    <w:rsid w:val="00BE29F8"/>
    <w:rsid w:val="00BE4BC6"/>
    <w:rsid w:val="00BE7EED"/>
    <w:rsid w:val="00BF0067"/>
    <w:rsid w:val="00BF4707"/>
    <w:rsid w:val="00BF5D6C"/>
    <w:rsid w:val="00C01B4E"/>
    <w:rsid w:val="00C0296D"/>
    <w:rsid w:val="00C02C9F"/>
    <w:rsid w:val="00C02D58"/>
    <w:rsid w:val="00C02DE2"/>
    <w:rsid w:val="00C07234"/>
    <w:rsid w:val="00C117EB"/>
    <w:rsid w:val="00C16ECE"/>
    <w:rsid w:val="00C23858"/>
    <w:rsid w:val="00C241E3"/>
    <w:rsid w:val="00C31F32"/>
    <w:rsid w:val="00C37A90"/>
    <w:rsid w:val="00C42049"/>
    <w:rsid w:val="00C578D1"/>
    <w:rsid w:val="00C635C3"/>
    <w:rsid w:val="00C77C72"/>
    <w:rsid w:val="00C77E47"/>
    <w:rsid w:val="00C77F6C"/>
    <w:rsid w:val="00C80B93"/>
    <w:rsid w:val="00CA283A"/>
    <w:rsid w:val="00CB279B"/>
    <w:rsid w:val="00CC254F"/>
    <w:rsid w:val="00CC2720"/>
    <w:rsid w:val="00CC3581"/>
    <w:rsid w:val="00CD31E5"/>
    <w:rsid w:val="00CE15AE"/>
    <w:rsid w:val="00CE5697"/>
    <w:rsid w:val="00CE62BA"/>
    <w:rsid w:val="00CF2708"/>
    <w:rsid w:val="00CF5167"/>
    <w:rsid w:val="00D007BE"/>
    <w:rsid w:val="00D069B6"/>
    <w:rsid w:val="00D06E90"/>
    <w:rsid w:val="00D11D2F"/>
    <w:rsid w:val="00D26314"/>
    <w:rsid w:val="00D311DE"/>
    <w:rsid w:val="00D3237A"/>
    <w:rsid w:val="00D36F44"/>
    <w:rsid w:val="00D40929"/>
    <w:rsid w:val="00D421CF"/>
    <w:rsid w:val="00D4566F"/>
    <w:rsid w:val="00D51916"/>
    <w:rsid w:val="00D5472E"/>
    <w:rsid w:val="00D55133"/>
    <w:rsid w:val="00D652A2"/>
    <w:rsid w:val="00D66744"/>
    <w:rsid w:val="00D75749"/>
    <w:rsid w:val="00D77916"/>
    <w:rsid w:val="00D77919"/>
    <w:rsid w:val="00D8038C"/>
    <w:rsid w:val="00D81D30"/>
    <w:rsid w:val="00D925E8"/>
    <w:rsid w:val="00D935F0"/>
    <w:rsid w:val="00D93B3C"/>
    <w:rsid w:val="00DA16E8"/>
    <w:rsid w:val="00DA3ECE"/>
    <w:rsid w:val="00DA692C"/>
    <w:rsid w:val="00DB07CE"/>
    <w:rsid w:val="00DB2233"/>
    <w:rsid w:val="00DB50E9"/>
    <w:rsid w:val="00DD127C"/>
    <w:rsid w:val="00DD3DBA"/>
    <w:rsid w:val="00DD45F3"/>
    <w:rsid w:val="00DE45D2"/>
    <w:rsid w:val="00DE7EB1"/>
    <w:rsid w:val="00DF4A23"/>
    <w:rsid w:val="00E02E85"/>
    <w:rsid w:val="00E10A1D"/>
    <w:rsid w:val="00E1696C"/>
    <w:rsid w:val="00E20D7B"/>
    <w:rsid w:val="00E212E5"/>
    <w:rsid w:val="00E21D76"/>
    <w:rsid w:val="00E22204"/>
    <w:rsid w:val="00E24710"/>
    <w:rsid w:val="00E368EE"/>
    <w:rsid w:val="00E40929"/>
    <w:rsid w:val="00E41AA6"/>
    <w:rsid w:val="00E50576"/>
    <w:rsid w:val="00E53138"/>
    <w:rsid w:val="00E53CC7"/>
    <w:rsid w:val="00E7091D"/>
    <w:rsid w:val="00E71F1C"/>
    <w:rsid w:val="00E73750"/>
    <w:rsid w:val="00E73FBE"/>
    <w:rsid w:val="00E8259B"/>
    <w:rsid w:val="00E83E93"/>
    <w:rsid w:val="00E86EE7"/>
    <w:rsid w:val="00EA1169"/>
    <w:rsid w:val="00EA49BA"/>
    <w:rsid w:val="00EB2623"/>
    <w:rsid w:val="00EB3BFC"/>
    <w:rsid w:val="00EB4BED"/>
    <w:rsid w:val="00EB6469"/>
    <w:rsid w:val="00EC4565"/>
    <w:rsid w:val="00EE0A3E"/>
    <w:rsid w:val="00EF3CBE"/>
    <w:rsid w:val="00F01703"/>
    <w:rsid w:val="00F021AE"/>
    <w:rsid w:val="00F104F4"/>
    <w:rsid w:val="00F14BD7"/>
    <w:rsid w:val="00F15D11"/>
    <w:rsid w:val="00F201EC"/>
    <w:rsid w:val="00F27197"/>
    <w:rsid w:val="00F3024F"/>
    <w:rsid w:val="00F32251"/>
    <w:rsid w:val="00F335C8"/>
    <w:rsid w:val="00F46929"/>
    <w:rsid w:val="00F51E30"/>
    <w:rsid w:val="00F6071F"/>
    <w:rsid w:val="00F64FAC"/>
    <w:rsid w:val="00F67ADA"/>
    <w:rsid w:val="00F736F2"/>
    <w:rsid w:val="00F8053D"/>
    <w:rsid w:val="00F843FC"/>
    <w:rsid w:val="00F84DE0"/>
    <w:rsid w:val="00F8592A"/>
    <w:rsid w:val="00F85C8A"/>
    <w:rsid w:val="00F9137B"/>
    <w:rsid w:val="00F92AF5"/>
    <w:rsid w:val="00FA09F7"/>
    <w:rsid w:val="00FA1611"/>
    <w:rsid w:val="00FA2F2B"/>
    <w:rsid w:val="00FB0636"/>
    <w:rsid w:val="00FB0BC6"/>
    <w:rsid w:val="00FB1FAF"/>
    <w:rsid w:val="00FB6493"/>
    <w:rsid w:val="00FD03D1"/>
    <w:rsid w:val="00FD3312"/>
    <w:rsid w:val="00FD404B"/>
    <w:rsid w:val="00FE03DD"/>
    <w:rsid w:val="00FF3F5D"/>
    <w:rsid w:val="00FF73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465D4DF"/>
  <w15:docId w15:val="{F1654CFD-2561-4B71-902F-CA8066EAE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F44"/>
    <w:rPr>
      <w:sz w:val="24"/>
      <w:szCs w:val="24"/>
      <w:lang w:eastAsia="en-US"/>
    </w:rPr>
  </w:style>
  <w:style w:type="paragraph" w:styleId="Nagwek1">
    <w:name w:val="heading 1"/>
    <w:basedOn w:val="Normalny"/>
    <w:next w:val="Normalny"/>
    <w:link w:val="Nagwek1Znak"/>
    <w:qFormat/>
    <w:rsid w:val="00BE29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207F2"/>
    <w:rPr>
      <w:rFonts w:ascii="Arial" w:hAnsi="Arial"/>
      <w:sz w:val="16"/>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793EB6"/>
    <w:pPr>
      <w:tabs>
        <w:tab w:val="center" w:pos="4536"/>
        <w:tab w:val="right" w:pos="9072"/>
      </w:tabs>
    </w:pPr>
  </w:style>
  <w:style w:type="character" w:customStyle="1" w:styleId="NagwekZnak">
    <w:name w:val="Nagłówek Znak"/>
    <w:basedOn w:val="Domylnaczcionkaakapitu"/>
    <w:link w:val="Nagwek"/>
    <w:uiPriority w:val="99"/>
    <w:semiHidden/>
    <w:locked/>
    <w:rsid w:val="007764CE"/>
    <w:rPr>
      <w:rFonts w:cs="Times New Roman"/>
      <w:sz w:val="24"/>
      <w:lang w:eastAsia="en-US"/>
    </w:rPr>
  </w:style>
  <w:style w:type="paragraph" w:styleId="Stopka">
    <w:name w:val="footer"/>
    <w:basedOn w:val="Normalny"/>
    <w:link w:val="StopkaZnak"/>
    <w:uiPriority w:val="99"/>
    <w:rsid w:val="00793EB6"/>
    <w:pPr>
      <w:tabs>
        <w:tab w:val="center" w:pos="4536"/>
        <w:tab w:val="right" w:pos="9072"/>
      </w:tabs>
    </w:pPr>
  </w:style>
  <w:style w:type="character" w:customStyle="1" w:styleId="StopkaZnak">
    <w:name w:val="Stopka Znak"/>
    <w:basedOn w:val="Domylnaczcionkaakapitu"/>
    <w:link w:val="Stopka"/>
    <w:uiPriority w:val="99"/>
    <w:locked/>
    <w:rsid w:val="00793EB6"/>
    <w:rPr>
      <w:rFonts w:cs="Times New Roman"/>
      <w:sz w:val="24"/>
      <w:lang w:val="pl-PL" w:eastAsia="en-US"/>
    </w:rPr>
  </w:style>
  <w:style w:type="character" w:styleId="Hipercze">
    <w:name w:val="Hyperlink"/>
    <w:basedOn w:val="Domylnaczcionkaakapitu"/>
    <w:uiPriority w:val="99"/>
    <w:rsid w:val="005B1F8F"/>
    <w:rPr>
      <w:rFonts w:cs="Times New Roman"/>
      <w:color w:val="0055A4"/>
      <w:u w:val="none"/>
      <w:effect w:val="none"/>
    </w:rPr>
  </w:style>
  <w:style w:type="paragraph" w:customStyle="1" w:styleId="Default">
    <w:name w:val="Default"/>
    <w:uiPriority w:val="99"/>
    <w:rsid w:val="00CB279B"/>
    <w:pPr>
      <w:autoSpaceDE w:val="0"/>
      <w:autoSpaceDN w:val="0"/>
      <w:adjustRightInd w:val="0"/>
    </w:pPr>
    <w:rPr>
      <w:rFonts w:ascii="Futura CE Medium" w:hAnsi="Futura CE Medium" w:cs="Futura CE Medium"/>
      <w:color w:val="000000"/>
      <w:sz w:val="24"/>
      <w:szCs w:val="24"/>
    </w:rPr>
  </w:style>
  <w:style w:type="paragraph" w:customStyle="1" w:styleId="Pa6">
    <w:name w:val="Pa6"/>
    <w:basedOn w:val="Default"/>
    <w:next w:val="Default"/>
    <w:uiPriority w:val="99"/>
    <w:rsid w:val="00CB279B"/>
    <w:pPr>
      <w:spacing w:line="191" w:lineRule="atLeast"/>
    </w:pPr>
    <w:rPr>
      <w:rFonts w:cs="Times New Roman"/>
      <w:color w:val="auto"/>
    </w:rPr>
  </w:style>
  <w:style w:type="character" w:customStyle="1" w:styleId="A5">
    <w:name w:val="A5"/>
    <w:uiPriority w:val="99"/>
    <w:rsid w:val="00CB279B"/>
    <w:rPr>
      <w:rFonts w:ascii="Myriad Pro Light" w:hAnsi="Myriad Pro Light"/>
      <w:color w:val="000000"/>
      <w:sz w:val="18"/>
    </w:rPr>
  </w:style>
  <w:style w:type="paragraph" w:customStyle="1" w:styleId="Akapitzlist1">
    <w:name w:val="Akapit z listą1"/>
    <w:basedOn w:val="Normalny"/>
    <w:uiPriority w:val="99"/>
    <w:rsid w:val="00F64FAC"/>
    <w:pPr>
      <w:spacing w:after="160" w:line="259" w:lineRule="auto"/>
      <w:ind w:left="720"/>
      <w:contextualSpacing/>
    </w:pPr>
    <w:rPr>
      <w:rFonts w:ascii="Calibri" w:hAnsi="Calibri"/>
      <w:sz w:val="22"/>
      <w:szCs w:val="22"/>
    </w:rPr>
  </w:style>
  <w:style w:type="paragraph" w:styleId="Zwykytekst">
    <w:name w:val="Plain Text"/>
    <w:basedOn w:val="Normalny"/>
    <w:link w:val="ZwykytekstZnak"/>
    <w:uiPriority w:val="99"/>
    <w:rsid w:val="00B97664"/>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7764CE"/>
    <w:rPr>
      <w:rFonts w:ascii="Courier New" w:hAnsi="Courier New" w:cs="Times New Roman"/>
      <w:sz w:val="20"/>
      <w:lang w:eastAsia="en-US"/>
    </w:rPr>
  </w:style>
  <w:style w:type="character" w:customStyle="1" w:styleId="ff1cf3fs22">
    <w:name w:val="ff1 cf3 fs22"/>
    <w:uiPriority w:val="99"/>
    <w:rsid w:val="00B97664"/>
  </w:style>
  <w:style w:type="paragraph" w:styleId="Tekstdymka">
    <w:name w:val="Balloon Text"/>
    <w:basedOn w:val="Normalny"/>
    <w:link w:val="TekstdymkaZnak"/>
    <w:uiPriority w:val="99"/>
    <w:rsid w:val="009E3872"/>
    <w:rPr>
      <w:rFonts w:ascii="Tahoma" w:hAnsi="Tahoma"/>
      <w:sz w:val="16"/>
      <w:szCs w:val="16"/>
    </w:rPr>
  </w:style>
  <w:style w:type="character" w:customStyle="1" w:styleId="TekstdymkaZnak">
    <w:name w:val="Tekst dymka Znak"/>
    <w:basedOn w:val="Domylnaczcionkaakapitu"/>
    <w:link w:val="Tekstdymka"/>
    <w:uiPriority w:val="99"/>
    <w:locked/>
    <w:rsid w:val="009E3872"/>
    <w:rPr>
      <w:rFonts w:ascii="Tahoma" w:hAnsi="Tahoma" w:cs="Times New Roman"/>
      <w:sz w:val="16"/>
      <w:lang w:eastAsia="en-US"/>
    </w:rPr>
  </w:style>
  <w:style w:type="character" w:styleId="Odwoaniedokomentarza">
    <w:name w:val="annotation reference"/>
    <w:basedOn w:val="Domylnaczcionkaakapitu"/>
    <w:uiPriority w:val="99"/>
    <w:semiHidden/>
    <w:rsid w:val="00E1696C"/>
    <w:rPr>
      <w:rFonts w:cs="Times New Roman"/>
      <w:sz w:val="18"/>
    </w:rPr>
  </w:style>
  <w:style w:type="paragraph" w:styleId="Tekstkomentarza">
    <w:name w:val="annotation text"/>
    <w:basedOn w:val="Normalny"/>
    <w:link w:val="TekstkomentarzaZnak"/>
    <w:uiPriority w:val="99"/>
    <w:semiHidden/>
    <w:rsid w:val="00E1696C"/>
  </w:style>
  <w:style w:type="character" w:customStyle="1" w:styleId="TekstkomentarzaZnak">
    <w:name w:val="Tekst komentarza Znak"/>
    <w:basedOn w:val="Domylnaczcionkaakapitu"/>
    <w:link w:val="Tekstkomentarza"/>
    <w:uiPriority w:val="99"/>
    <w:semiHidden/>
    <w:locked/>
    <w:rsid w:val="00E1696C"/>
    <w:rPr>
      <w:rFonts w:cs="Times New Roman"/>
      <w:sz w:val="24"/>
      <w:lang w:eastAsia="en-US"/>
    </w:rPr>
  </w:style>
  <w:style w:type="paragraph" w:styleId="Tematkomentarza">
    <w:name w:val="annotation subject"/>
    <w:basedOn w:val="Tekstkomentarza"/>
    <w:next w:val="Tekstkomentarza"/>
    <w:link w:val="TematkomentarzaZnak"/>
    <w:uiPriority w:val="99"/>
    <w:semiHidden/>
    <w:rsid w:val="00E1696C"/>
    <w:rPr>
      <w:b/>
      <w:bCs/>
    </w:rPr>
  </w:style>
  <w:style w:type="character" w:customStyle="1" w:styleId="TematkomentarzaZnak">
    <w:name w:val="Temat komentarza Znak"/>
    <w:basedOn w:val="TekstkomentarzaZnak"/>
    <w:link w:val="Tematkomentarza"/>
    <w:uiPriority w:val="99"/>
    <w:semiHidden/>
    <w:locked/>
    <w:rsid w:val="00E1696C"/>
    <w:rPr>
      <w:rFonts w:cs="Times New Roman"/>
      <w:b/>
      <w:sz w:val="24"/>
      <w:lang w:eastAsia="en-US"/>
    </w:rPr>
  </w:style>
  <w:style w:type="character" w:styleId="UyteHipercze">
    <w:name w:val="FollowedHyperlink"/>
    <w:basedOn w:val="Domylnaczcionkaakapitu"/>
    <w:uiPriority w:val="99"/>
    <w:locked/>
    <w:rsid w:val="00EA49BA"/>
    <w:rPr>
      <w:rFonts w:cs="Times New Roman"/>
      <w:color w:val="800080"/>
      <w:u w:val="single"/>
    </w:rPr>
  </w:style>
  <w:style w:type="paragraph" w:styleId="NormalnyWeb">
    <w:name w:val="Normal (Web)"/>
    <w:basedOn w:val="Normalny"/>
    <w:uiPriority w:val="99"/>
    <w:unhideWhenUsed/>
    <w:locked/>
    <w:rsid w:val="00B67F21"/>
    <w:pPr>
      <w:spacing w:before="100" w:beforeAutospacing="1" w:after="100" w:afterAutospacing="1"/>
    </w:pPr>
    <w:rPr>
      <w:rFonts w:eastAsia="Calibri"/>
      <w:lang w:eastAsia="pl-PL"/>
    </w:rPr>
  </w:style>
  <w:style w:type="paragraph" w:styleId="Tekstpodstawowy">
    <w:name w:val="Body Text"/>
    <w:basedOn w:val="Normalny"/>
    <w:link w:val="TekstpodstawowyZnak"/>
    <w:locked/>
    <w:rsid w:val="00BE29F8"/>
    <w:pPr>
      <w:spacing w:before="120" w:after="120" w:line="312" w:lineRule="auto"/>
      <w:jc w:val="both"/>
    </w:pPr>
    <w:rPr>
      <w:rFonts w:ascii="Arial" w:hAnsi="Arial"/>
      <w:sz w:val="22"/>
      <w:szCs w:val="22"/>
      <w:lang w:bidi="en-US"/>
    </w:rPr>
  </w:style>
  <w:style w:type="character" w:customStyle="1" w:styleId="TekstpodstawowyZnak">
    <w:name w:val="Tekst podstawowy Znak"/>
    <w:basedOn w:val="Domylnaczcionkaakapitu"/>
    <w:link w:val="Tekstpodstawowy"/>
    <w:rsid w:val="00BE29F8"/>
    <w:rPr>
      <w:rFonts w:ascii="Arial" w:hAnsi="Arial"/>
      <w:lang w:eastAsia="en-US" w:bidi="en-US"/>
    </w:rPr>
  </w:style>
  <w:style w:type="paragraph" w:styleId="Tekstprzypisudolnego">
    <w:name w:val="footnote text"/>
    <w:basedOn w:val="Tekstpodstawowy"/>
    <w:link w:val="TekstprzypisudolnegoZnak"/>
    <w:qFormat/>
    <w:locked/>
    <w:rsid w:val="00BE29F8"/>
    <w:pPr>
      <w:tabs>
        <w:tab w:val="left" w:pos="170"/>
      </w:tabs>
      <w:ind w:left="170" w:hanging="170"/>
    </w:pPr>
    <w:rPr>
      <w:sz w:val="18"/>
    </w:rPr>
  </w:style>
  <w:style w:type="character" w:customStyle="1" w:styleId="TekstprzypisudolnegoZnak">
    <w:name w:val="Tekst przypisu dolnego Znak"/>
    <w:basedOn w:val="Domylnaczcionkaakapitu"/>
    <w:link w:val="Tekstprzypisudolnego"/>
    <w:rsid w:val="00BE29F8"/>
    <w:rPr>
      <w:rFonts w:ascii="Arial" w:hAnsi="Arial"/>
      <w:sz w:val="18"/>
      <w:lang w:eastAsia="en-US" w:bidi="en-US"/>
    </w:rPr>
  </w:style>
  <w:style w:type="character" w:styleId="Odwoanieprzypisudolnego">
    <w:name w:val="footnote reference"/>
    <w:basedOn w:val="Domylnaczcionkaakapitu"/>
    <w:locked/>
    <w:rsid w:val="00BE29F8"/>
    <w:rPr>
      <w:color w:val="auto"/>
      <w:vertAlign w:val="superscript"/>
    </w:rPr>
  </w:style>
  <w:style w:type="paragraph" w:customStyle="1" w:styleId="Naglowek1beznumeracji">
    <w:name w:val="Naglowek_1_bez_numeracji"/>
    <w:basedOn w:val="Nagwek1"/>
    <w:next w:val="Tekstpodstawowy"/>
    <w:uiPriority w:val="1"/>
    <w:qFormat/>
    <w:rsid w:val="00BE29F8"/>
    <w:pPr>
      <w:keepLines w:val="0"/>
      <w:pageBreakBefore/>
      <w:tabs>
        <w:tab w:val="left" w:pos="737"/>
      </w:tabs>
      <w:spacing w:before="360" w:after="120" w:line="280" w:lineRule="atLeast"/>
      <w:jc w:val="both"/>
    </w:pPr>
    <w:rPr>
      <w:rFonts w:ascii="Arial" w:eastAsia="Times New Roman" w:hAnsi="Arial" w:cs="Times New Roman"/>
      <w:color w:val="auto"/>
      <w:lang w:bidi="en-US"/>
    </w:rPr>
  </w:style>
  <w:style w:type="character" w:customStyle="1" w:styleId="Nagwek1Znak">
    <w:name w:val="Nagłówek 1 Znak"/>
    <w:basedOn w:val="Domylnaczcionkaakapitu"/>
    <w:link w:val="Nagwek1"/>
    <w:rsid w:val="00BE29F8"/>
    <w:rPr>
      <w:rFonts w:asciiTheme="majorHAnsi" w:eastAsiaTheme="majorEastAsia" w:hAnsiTheme="majorHAnsi" w:cstheme="majorBidi"/>
      <w:b/>
      <w:bCs/>
      <w:color w:val="365F91" w:themeColor="accent1" w:themeShade="BF"/>
      <w:sz w:val="28"/>
      <w:szCs w:val="28"/>
      <w:lang w:eastAsia="en-US"/>
    </w:rPr>
  </w:style>
  <w:style w:type="paragraph" w:styleId="Akapitzlist">
    <w:name w:val="List Paragraph"/>
    <w:basedOn w:val="Normalny"/>
    <w:uiPriority w:val="34"/>
    <w:qFormat/>
    <w:rsid w:val="005D28B7"/>
    <w:pPr>
      <w:ind w:left="720"/>
      <w:contextualSpacing/>
    </w:pPr>
  </w:style>
  <w:style w:type="paragraph" w:customStyle="1" w:styleId="p1">
    <w:name w:val="p1"/>
    <w:basedOn w:val="Normalny"/>
    <w:rsid w:val="000A2609"/>
    <w:pPr>
      <w:spacing w:before="100" w:beforeAutospacing="1" w:after="100" w:afterAutospacing="1"/>
    </w:pPr>
    <w:rPr>
      <w:rFonts w:eastAsia="Calibri"/>
      <w:lang w:eastAsia="pl-PL"/>
    </w:rPr>
  </w:style>
  <w:style w:type="paragraph" w:customStyle="1" w:styleId="p2">
    <w:name w:val="p2"/>
    <w:basedOn w:val="Normalny"/>
    <w:rsid w:val="000A2609"/>
    <w:pPr>
      <w:spacing w:before="100" w:beforeAutospacing="1" w:after="100" w:afterAutospacing="1"/>
    </w:pPr>
    <w:rPr>
      <w:rFonts w:eastAsia="Calibri"/>
      <w:lang w:eastAsia="pl-PL"/>
    </w:rPr>
  </w:style>
  <w:style w:type="character" w:customStyle="1" w:styleId="s1">
    <w:name w:val="s1"/>
    <w:rsid w:val="000A2609"/>
  </w:style>
  <w:style w:type="paragraph" w:customStyle="1" w:styleId="intro">
    <w:name w:val="intro"/>
    <w:basedOn w:val="Normalny"/>
    <w:rsid w:val="00C578D1"/>
    <w:pPr>
      <w:spacing w:before="100" w:beforeAutospacing="1" w:after="100" w:afterAutospacing="1"/>
    </w:pPr>
    <w:rPr>
      <w:lang w:eastAsia="pl-PL"/>
    </w:rPr>
  </w:style>
  <w:style w:type="character" w:styleId="Pogrubienie">
    <w:name w:val="Strong"/>
    <w:basedOn w:val="Domylnaczcionkaakapitu"/>
    <w:uiPriority w:val="22"/>
    <w:qFormat/>
    <w:rsid w:val="00C578D1"/>
    <w:rPr>
      <w:b/>
      <w:bCs/>
    </w:rPr>
  </w:style>
  <w:style w:type="paragraph" w:styleId="Poprawka">
    <w:name w:val="Revision"/>
    <w:hidden/>
    <w:uiPriority w:val="99"/>
    <w:semiHidden/>
    <w:rsid w:val="0079060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70133">
      <w:marLeft w:val="0"/>
      <w:marRight w:val="0"/>
      <w:marTop w:val="0"/>
      <w:marBottom w:val="0"/>
      <w:divBdr>
        <w:top w:val="none" w:sz="0" w:space="0" w:color="auto"/>
        <w:left w:val="none" w:sz="0" w:space="0" w:color="auto"/>
        <w:bottom w:val="none" w:sz="0" w:space="0" w:color="auto"/>
        <w:right w:val="none" w:sz="0" w:space="0" w:color="auto"/>
      </w:divBdr>
    </w:div>
    <w:div w:id="247470134">
      <w:marLeft w:val="0"/>
      <w:marRight w:val="0"/>
      <w:marTop w:val="0"/>
      <w:marBottom w:val="0"/>
      <w:divBdr>
        <w:top w:val="none" w:sz="0" w:space="0" w:color="auto"/>
        <w:left w:val="none" w:sz="0" w:space="0" w:color="auto"/>
        <w:bottom w:val="none" w:sz="0" w:space="0" w:color="auto"/>
        <w:right w:val="none" w:sz="0" w:space="0" w:color="auto"/>
      </w:divBdr>
      <w:divsChild>
        <w:div w:id="247470142">
          <w:marLeft w:val="0"/>
          <w:marRight w:val="0"/>
          <w:marTop w:val="0"/>
          <w:marBottom w:val="0"/>
          <w:divBdr>
            <w:top w:val="none" w:sz="0" w:space="0" w:color="auto"/>
            <w:left w:val="none" w:sz="0" w:space="0" w:color="auto"/>
            <w:bottom w:val="none" w:sz="0" w:space="0" w:color="auto"/>
            <w:right w:val="none" w:sz="0" w:space="0" w:color="auto"/>
          </w:divBdr>
        </w:div>
      </w:divsChild>
    </w:div>
    <w:div w:id="247470135">
      <w:marLeft w:val="0"/>
      <w:marRight w:val="0"/>
      <w:marTop w:val="0"/>
      <w:marBottom w:val="0"/>
      <w:divBdr>
        <w:top w:val="none" w:sz="0" w:space="0" w:color="auto"/>
        <w:left w:val="none" w:sz="0" w:space="0" w:color="auto"/>
        <w:bottom w:val="none" w:sz="0" w:space="0" w:color="auto"/>
        <w:right w:val="none" w:sz="0" w:space="0" w:color="auto"/>
      </w:divBdr>
      <w:divsChild>
        <w:div w:id="247470139">
          <w:marLeft w:val="0"/>
          <w:marRight w:val="0"/>
          <w:marTop w:val="0"/>
          <w:marBottom w:val="0"/>
          <w:divBdr>
            <w:top w:val="none" w:sz="0" w:space="0" w:color="auto"/>
            <w:left w:val="none" w:sz="0" w:space="0" w:color="auto"/>
            <w:bottom w:val="none" w:sz="0" w:space="0" w:color="auto"/>
            <w:right w:val="none" w:sz="0" w:space="0" w:color="auto"/>
          </w:divBdr>
        </w:div>
      </w:divsChild>
    </w:div>
    <w:div w:id="247470136">
      <w:marLeft w:val="0"/>
      <w:marRight w:val="0"/>
      <w:marTop w:val="0"/>
      <w:marBottom w:val="0"/>
      <w:divBdr>
        <w:top w:val="none" w:sz="0" w:space="0" w:color="auto"/>
        <w:left w:val="none" w:sz="0" w:space="0" w:color="auto"/>
        <w:bottom w:val="none" w:sz="0" w:space="0" w:color="auto"/>
        <w:right w:val="none" w:sz="0" w:space="0" w:color="auto"/>
      </w:divBdr>
      <w:divsChild>
        <w:div w:id="247470138">
          <w:marLeft w:val="0"/>
          <w:marRight w:val="0"/>
          <w:marTop w:val="0"/>
          <w:marBottom w:val="0"/>
          <w:divBdr>
            <w:top w:val="none" w:sz="0" w:space="0" w:color="auto"/>
            <w:left w:val="none" w:sz="0" w:space="0" w:color="auto"/>
            <w:bottom w:val="none" w:sz="0" w:space="0" w:color="auto"/>
            <w:right w:val="none" w:sz="0" w:space="0" w:color="auto"/>
          </w:divBdr>
        </w:div>
      </w:divsChild>
    </w:div>
    <w:div w:id="247470140">
      <w:marLeft w:val="0"/>
      <w:marRight w:val="0"/>
      <w:marTop w:val="0"/>
      <w:marBottom w:val="0"/>
      <w:divBdr>
        <w:top w:val="none" w:sz="0" w:space="0" w:color="auto"/>
        <w:left w:val="none" w:sz="0" w:space="0" w:color="auto"/>
        <w:bottom w:val="none" w:sz="0" w:space="0" w:color="auto"/>
        <w:right w:val="none" w:sz="0" w:space="0" w:color="auto"/>
      </w:divBdr>
      <w:divsChild>
        <w:div w:id="247470147">
          <w:marLeft w:val="0"/>
          <w:marRight w:val="0"/>
          <w:marTop w:val="0"/>
          <w:marBottom w:val="0"/>
          <w:divBdr>
            <w:top w:val="none" w:sz="0" w:space="0" w:color="auto"/>
            <w:left w:val="none" w:sz="0" w:space="0" w:color="auto"/>
            <w:bottom w:val="none" w:sz="0" w:space="0" w:color="auto"/>
            <w:right w:val="none" w:sz="0" w:space="0" w:color="auto"/>
          </w:divBdr>
        </w:div>
      </w:divsChild>
    </w:div>
    <w:div w:id="247470141">
      <w:marLeft w:val="0"/>
      <w:marRight w:val="0"/>
      <w:marTop w:val="0"/>
      <w:marBottom w:val="0"/>
      <w:divBdr>
        <w:top w:val="none" w:sz="0" w:space="0" w:color="auto"/>
        <w:left w:val="none" w:sz="0" w:space="0" w:color="auto"/>
        <w:bottom w:val="none" w:sz="0" w:space="0" w:color="auto"/>
        <w:right w:val="none" w:sz="0" w:space="0" w:color="auto"/>
      </w:divBdr>
      <w:divsChild>
        <w:div w:id="247470137">
          <w:marLeft w:val="0"/>
          <w:marRight w:val="0"/>
          <w:marTop w:val="0"/>
          <w:marBottom w:val="0"/>
          <w:divBdr>
            <w:top w:val="none" w:sz="0" w:space="0" w:color="auto"/>
            <w:left w:val="none" w:sz="0" w:space="0" w:color="auto"/>
            <w:bottom w:val="none" w:sz="0" w:space="0" w:color="auto"/>
            <w:right w:val="none" w:sz="0" w:space="0" w:color="auto"/>
          </w:divBdr>
        </w:div>
      </w:divsChild>
    </w:div>
    <w:div w:id="247470144">
      <w:marLeft w:val="0"/>
      <w:marRight w:val="0"/>
      <w:marTop w:val="0"/>
      <w:marBottom w:val="0"/>
      <w:divBdr>
        <w:top w:val="none" w:sz="0" w:space="0" w:color="auto"/>
        <w:left w:val="none" w:sz="0" w:space="0" w:color="auto"/>
        <w:bottom w:val="none" w:sz="0" w:space="0" w:color="auto"/>
        <w:right w:val="none" w:sz="0" w:space="0" w:color="auto"/>
      </w:divBdr>
      <w:divsChild>
        <w:div w:id="247470143">
          <w:marLeft w:val="0"/>
          <w:marRight w:val="0"/>
          <w:marTop w:val="0"/>
          <w:marBottom w:val="0"/>
          <w:divBdr>
            <w:top w:val="none" w:sz="0" w:space="0" w:color="auto"/>
            <w:left w:val="none" w:sz="0" w:space="0" w:color="auto"/>
            <w:bottom w:val="none" w:sz="0" w:space="0" w:color="auto"/>
            <w:right w:val="none" w:sz="0" w:space="0" w:color="auto"/>
          </w:divBdr>
        </w:div>
      </w:divsChild>
    </w:div>
    <w:div w:id="247470145">
      <w:marLeft w:val="0"/>
      <w:marRight w:val="0"/>
      <w:marTop w:val="0"/>
      <w:marBottom w:val="0"/>
      <w:divBdr>
        <w:top w:val="none" w:sz="0" w:space="0" w:color="auto"/>
        <w:left w:val="none" w:sz="0" w:space="0" w:color="auto"/>
        <w:bottom w:val="none" w:sz="0" w:space="0" w:color="auto"/>
        <w:right w:val="none" w:sz="0" w:space="0" w:color="auto"/>
      </w:divBdr>
      <w:divsChild>
        <w:div w:id="247470146">
          <w:marLeft w:val="0"/>
          <w:marRight w:val="0"/>
          <w:marTop w:val="0"/>
          <w:marBottom w:val="0"/>
          <w:divBdr>
            <w:top w:val="none" w:sz="0" w:space="0" w:color="auto"/>
            <w:left w:val="none" w:sz="0" w:space="0" w:color="auto"/>
            <w:bottom w:val="none" w:sz="0" w:space="0" w:color="auto"/>
            <w:right w:val="none" w:sz="0" w:space="0" w:color="auto"/>
          </w:divBdr>
        </w:div>
      </w:divsChild>
    </w:div>
    <w:div w:id="335689868">
      <w:bodyDiv w:val="1"/>
      <w:marLeft w:val="0"/>
      <w:marRight w:val="0"/>
      <w:marTop w:val="0"/>
      <w:marBottom w:val="0"/>
      <w:divBdr>
        <w:top w:val="none" w:sz="0" w:space="0" w:color="auto"/>
        <w:left w:val="none" w:sz="0" w:space="0" w:color="auto"/>
        <w:bottom w:val="none" w:sz="0" w:space="0" w:color="auto"/>
        <w:right w:val="none" w:sz="0" w:space="0" w:color="auto"/>
      </w:divBdr>
      <w:divsChild>
        <w:div w:id="1842895121">
          <w:marLeft w:val="0"/>
          <w:marRight w:val="0"/>
          <w:marTop w:val="0"/>
          <w:marBottom w:val="0"/>
          <w:divBdr>
            <w:top w:val="none" w:sz="0" w:space="0" w:color="auto"/>
            <w:left w:val="none" w:sz="0" w:space="0" w:color="auto"/>
            <w:bottom w:val="none" w:sz="0" w:space="0" w:color="auto"/>
            <w:right w:val="none" w:sz="0" w:space="0" w:color="auto"/>
          </w:divBdr>
        </w:div>
      </w:divsChild>
    </w:div>
    <w:div w:id="521092862">
      <w:bodyDiv w:val="1"/>
      <w:marLeft w:val="0"/>
      <w:marRight w:val="0"/>
      <w:marTop w:val="0"/>
      <w:marBottom w:val="0"/>
      <w:divBdr>
        <w:top w:val="none" w:sz="0" w:space="0" w:color="auto"/>
        <w:left w:val="none" w:sz="0" w:space="0" w:color="auto"/>
        <w:bottom w:val="none" w:sz="0" w:space="0" w:color="auto"/>
        <w:right w:val="none" w:sz="0" w:space="0" w:color="auto"/>
      </w:divBdr>
    </w:div>
    <w:div w:id="632250892">
      <w:bodyDiv w:val="1"/>
      <w:marLeft w:val="0"/>
      <w:marRight w:val="0"/>
      <w:marTop w:val="0"/>
      <w:marBottom w:val="0"/>
      <w:divBdr>
        <w:top w:val="none" w:sz="0" w:space="0" w:color="auto"/>
        <w:left w:val="none" w:sz="0" w:space="0" w:color="auto"/>
        <w:bottom w:val="none" w:sz="0" w:space="0" w:color="auto"/>
        <w:right w:val="none" w:sz="0" w:space="0" w:color="auto"/>
      </w:divBdr>
    </w:div>
    <w:div w:id="727149919">
      <w:bodyDiv w:val="1"/>
      <w:marLeft w:val="0"/>
      <w:marRight w:val="0"/>
      <w:marTop w:val="0"/>
      <w:marBottom w:val="0"/>
      <w:divBdr>
        <w:top w:val="none" w:sz="0" w:space="0" w:color="auto"/>
        <w:left w:val="none" w:sz="0" w:space="0" w:color="auto"/>
        <w:bottom w:val="none" w:sz="0" w:space="0" w:color="auto"/>
        <w:right w:val="none" w:sz="0" w:space="0" w:color="auto"/>
      </w:divBdr>
      <w:divsChild>
        <w:div w:id="1144273071">
          <w:marLeft w:val="0"/>
          <w:marRight w:val="0"/>
          <w:marTop w:val="0"/>
          <w:marBottom w:val="480"/>
          <w:divBdr>
            <w:top w:val="none" w:sz="0" w:space="0" w:color="auto"/>
            <w:left w:val="none" w:sz="0" w:space="0" w:color="auto"/>
            <w:bottom w:val="none" w:sz="0" w:space="0" w:color="auto"/>
            <w:right w:val="none" w:sz="0" w:space="0" w:color="auto"/>
          </w:divBdr>
          <w:divsChild>
            <w:div w:id="106197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14628">
      <w:bodyDiv w:val="1"/>
      <w:marLeft w:val="0"/>
      <w:marRight w:val="0"/>
      <w:marTop w:val="0"/>
      <w:marBottom w:val="0"/>
      <w:divBdr>
        <w:top w:val="none" w:sz="0" w:space="0" w:color="auto"/>
        <w:left w:val="none" w:sz="0" w:space="0" w:color="auto"/>
        <w:bottom w:val="none" w:sz="0" w:space="0" w:color="auto"/>
        <w:right w:val="none" w:sz="0" w:space="0" w:color="auto"/>
      </w:divBdr>
    </w:div>
    <w:div w:id="1040280575">
      <w:bodyDiv w:val="1"/>
      <w:marLeft w:val="0"/>
      <w:marRight w:val="0"/>
      <w:marTop w:val="0"/>
      <w:marBottom w:val="0"/>
      <w:divBdr>
        <w:top w:val="none" w:sz="0" w:space="0" w:color="auto"/>
        <w:left w:val="none" w:sz="0" w:space="0" w:color="auto"/>
        <w:bottom w:val="none" w:sz="0" w:space="0" w:color="auto"/>
        <w:right w:val="none" w:sz="0" w:space="0" w:color="auto"/>
      </w:divBdr>
    </w:div>
    <w:div w:id="1069186758">
      <w:bodyDiv w:val="1"/>
      <w:marLeft w:val="0"/>
      <w:marRight w:val="0"/>
      <w:marTop w:val="0"/>
      <w:marBottom w:val="0"/>
      <w:divBdr>
        <w:top w:val="none" w:sz="0" w:space="0" w:color="auto"/>
        <w:left w:val="none" w:sz="0" w:space="0" w:color="auto"/>
        <w:bottom w:val="none" w:sz="0" w:space="0" w:color="auto"/>
        <w:right w:val="none" w:sz="0" w:space="0" w:color="auto"/>
      </w:divBdr>
    </w:div>
    <w:div w:id="1198588866">
      <w:bodyDiv w:val="1"/>
      <w:marLeft w:val="0"/>
      <w:marRight w:val="0"/>
      <w:marTop w:val="0"/>
      <w:marBottom w:val="0"/>
      <w:divBdr>
        <w:top w:val="none" w:sz="0" w:space="0" w:color="auto"/>
        <w:left w:val="none" w:sz="0" w:space="0" w:color="auto"/>
        <w:bottom w:val="none" w:sz="0" w:space="0" w:color="auto"/>
        <w:right w:val="none" w:sz="0" w:space="0" w:color="auto"/>
      </w:divBdr>
    </w:div>
    <w:div w:id="1242452151">
      <w:bodyDiv w:val="1"/>
      <w:marLeft w:val="0"/>
      <w:marRight w:val="0"/>
      <w:marTop w:val="0"/>
      <w:marBottom w:val="0"/>
      <w:divBdr>
        <w:top w:val="none" w:sz="0" w:space="0" w:color="auto"/>
        <w:left w:val="none" w:sz="0" w:space="0" w:color="auto"/>
        <w:bottom w:val="none" w:sz="0" w:space="0" w:color="auto"/>
        <w:right w:val="none" w:sz="0" w:space="0" w:color="auto"/>
      </w:divBdr>
    </w:div>
    <w:div w:id="1259481007">
      <w:bodyDiv w:val="1"/>
      <w:marLeft w:val="0"/>
      <w:marRight w:val="0"/>
      <w:marTop w:val="0"/>
      <w:marBottom w:val="0"/>
      <w:divBdr>
        <w:top w:val="none" w:sz="0" w:space="0" w:color="auto"/>
        <w:left w:val="none" w:sz="0" w:space="0" w:color="auto"/>
        <w:bottom w:val="none" w:sz="0" w:space="0" w:color="auto"/>
        <w:right w:val="none" w:sz="0" w:space="0" w:color="auto"/>
      </w:divBdr>
    </w:div>
    <w:div w:id="1303778324">
      <w:bodyDiv w:val="1"/>
      <w:marLeft w:val="0"/>
      <w:marRight w:val="0"/>
      <w:marTop w:val="0"/>
      <w:marBottom w:val="0"/>
      <w:divBdr>
        <w:top w:val="none" w:sz="0" w:space="0" w:color="auto"/>
        <w:left w:val="none" w:sz="0" w:space="0" w:color="auto"/>
        <w:bottom w:val="none" w:sz="0" w:space="0" w:color="auto"/>
        <w:right w:val="none" w:sz="0" w:space="0" w:color="auto"/>
      </w:divBdr>
    </w:div>
    <w:div w:id="1319115636">
      <w:bodyDiv w:val="1"/>
      <w:marLeft w:val="0"/>
      <w:marRight w:val="0"/>
      <w:marTop w:val="0"/>
      <w:marBottom w:val="0"/>
      <w:divBdr>
        <w:top w:val="none" w:sz="0" w:space="0" w:color="auto"/>
        <w:left w:val="none" w:sz="0" w:space="0" w:color="auto"/>
        <w:bottom w:val="none" w:sz="0" w:space="0" w:color="auto"/>
        <w:right w:val="none" w:sz="0" w:space="0" w:color="auto"/>
      </w:divBdr>
    </w:div>
    <w:div w:id="181344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mikolaj.krupinski@its.waw.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FE65E-0A56-4038-BE8C-9D8F096B5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1476</Words>
  <Characters>8860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Instytut Transportu Samochodowego, dziś na wskroś nowoczesna naukowa placówka badawczo-rozwojowa posiada bogate tradycje</vt:lpstr>
    </vt:vector>
  </TitlesOfParts>
  <Company>Instytut Transportu Samochodowego</Company>
  <LinksUpToDate>false</LinksUpToDate>
  <CharactersWithSpaces>10316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Transportu Samochodowego, dziś na wskroś nowoczesna naukowa placówka badawczo-rozwojowa posiada bogate tradycje</dc:title>
  <dc:creator>mikolaj.krupinski</dc:creator>
  <cp:lastModifiedBy>Mikołaj Krupiński</cp:lastModifiedBy>
  <cp:revision>3</cp:revision>
  <cp:lastPrinted>2016-05-18T11:12:00Z</cp:lastPrinted>
  <dcterms:created xsi:type="dcterms:W3CDTF">2025-08-22T12:16:00Z</dcterms:created>
  <dcterms:modified xsi:type="dcterms:W3CDTF">2025-08-22T12:55:00Z</dcterms:modified>
</cp:coreProperties>
</file>